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80" w:rsidRDefault="007029AA">
      <w:pPr>
        <w:spacing w:after="158" w:line="259" w:lineRule="auto"/>
        <w:ind w:left="122" w:firstLine="0"/>
        <w:jc w:val="center"/>
      </w:pPr>
      <w:r>
        <w:rPr>
          <w:b/>
        </w:rPr>
        <w:t xml:space="preserve">2020-2021 Title I, Part A Parental and Family Engagement Plan </w:t>
      </w:r>
    </w:p>
    <w:p w:rsidR="00750580" w:rsidRDefault="007029AA">
      <w:pPr>
        <w:pStyle w:val="Heading1"/>
        <w:spacing w:after="181"/>
        <w:ind w:left="14"/>
      </w:pPr>
      <w:r>
        <w:t xml:space="preserve">Assurances </w:t>
      </w:r>
    </w:p>
    <w:p w:rsidR="00750580" w:rsidRDefault="007029AA">
      <w:pPr>
        <w:numPr>
          <w:ilvl w:val="0"/>
          <w:numId w:val="1"/>
        </w:numPr>
        <w:ind w:hanging="360"/>
      </w:pPr>
      <w:r>
        <w:t>Involve the parents of children served in Title I, Part A in decisions about how Title I, Part A funds are spent.</w:t>
      </w:r>
    </w:p>
    <w:p w:rsidR="00750580" w:rsidRDefault="007029AA">
      <w:pPr>
        <w:numPr>
          <w:ilvl w:val="0"/>
          <w:numId w:val="1"/>
        </w:numPr>
        <w:ind w:hanging="360"/>
      </w:pPr>
      <w:r>
        <w:t>The school will carry out the programs, activities, and procedures in accordance with the definitions in Section 80101 of Every Student Education Act (ESEA).</w:t>
      </w:r>
    </w:p>
    <w:p w:rsidR="00750580" w:rsidRDefault="007029AA">
      <w:pPr>
        <w:numPr>
          <w:ilvl w:val="0"/>
          <w:numId w:val="1"/>
        </w:numPr>
        <w:spacing w:after="4"/>
        <w:ind w:hanging="360"/>
      </w:pPr>
      <w:r>
        <w:t>The plan was jointly developed/revised with parents and made available to the local community.</w:t>
      </w:r>
    </w:p>
    <w:p w:rsidR="00750580" w:rsidRDefault="007029AA">
      <w:pPr>
        <w:numPr>
          <w:ilvl w:val="0"/>
          <w:numId w:val="1"/>
        </w:numPr>
        <w:ind w:hanging="360"/>
      </w:pPr>
      <w:r>
        <w:t>How</w:t>
      </w:r>
      <w:r>
        <w:t xml:space="preserve"> the parents and families are involved in planning, reviewing and improving the school-wide program plan.</w:t>
      </w:r>
    </w:p>
    <w:p w:rsidR="00750580" w:rsidRDefault="007029AA">
      <w:pPr>
        <w:numPr>
          <w:ilvl w:val="0"/>
          <w:numId w:val="1"/>
        </w:numPr>
        <w:spacing w:after="30" w:line="256" w:lineRule="auto"/>
        <w:ind w:hanging="360"/>
      </w:pPr>
      <w:r>
        <w:t>The plan uses the findings of the parent and family engagement plan review to design strategies for more effective engagement, and to review, if neces</w:t>
      </w:r>
      <w:r>
        <w:t>sary, the school’s parent and family engagement plan.</w:t>
      </w:r>
    </w:p>
    <w:p w:rsidR="00750580" w:rsidRDefault="007029AA">
      <w:pPr>
        <w:numPr>
          <w:ilvl w:val="0"/>
          <w:numId w:val="1"/>
        </w:numPr>
        <w:ind w:hanging="360"/>
      </w:pPr>
      <w:r>
        <w:t>The school will provide each family with timely notice information regarding their right to request information on the professional qualifications of the student’s classroom teachers and paraprofessiona</w:t>
      </w:r>
      <w:r>
        <w:t>ls.</w:t>
      </w:r>
    </w:p>
    <w:p w:rsidR="00750580" w:rsidRDefault="007029AA">
      <w:pPr>
        <w:numPr>
          <w:ilvl w:val="0"/>
          <w:numId w:val="1"/>
        </w:numPr>
        <w:ind w:hanging="360"/>
      </w:pPr>
      <w:r>
        <w:t>The school will notify each family, in a timely manner, when their child has been assigned, or had been taught for four or more consecutive weeks, by a teacher who is out of the field.</w:t>
      </w:r>
    </w:p>
    <w:p w:rsidR="00750580" w:rsidRDefault="007029AA">
      <w:pPr>
        <w:numPr>
          <w:ilvl w:val="0"/>
          <w:numId w:val="1"/>
        </w:numPr>
        <w:spacing w:after="555"/>
        <w:ind w:hanging="360"/>
      </w:pPr>
      <w:r>
        <w:t xml:space="preserve">The school will provide each family with an individualized student </w:t>
      </w:r>
      <w:r>
        <w:t>report about the performance of their child(</w:t>
      </w:r>
      <w:proofErr w:type="spellStart"/>
      <w:r>
        <w:t>ren</w:t>
      </w:r>
      <w:proofErr w:type="spellEnd"/>
      <w:r>
        <w:t>) on the State assessments.</w:t>
      </w:r>
    </w:p>
    <w:p w:rsidR="00E43A21" w:rsidRDefault="007029AA" w:rsidP="00E43A21">
      <w:pPr>
        <w:spacing w:after="68" w:line="259" w:lineRule="auto"/>
        <w:ind w:left="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38825" cy="12738"/>
                <wp:effectExtent l="0" t="0" r="0" b="0"/>
                <wp:docPr id="7249" name="Group 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2738"/>
                          <a:chOff x="0" y="0"/>
                          <a:chExt cx="5838825" cy="12738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314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825">
                                <a:moveTo>
                                  <a:pt x="0" y="0"/>
                                </a:moveTo>
                                <a:lnTo>
                                  <a:pt x="4314825" y="0"/>
                                </a:lnTo>
                              </a:path>
                            </a:pathLst>
                          </a:custGeom>
                          <a:ln w="1273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377056" y="0"/>
                            <a:ext cx="1461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>
                                <a:moveTo>
                                  <a:pt x="0" y="0"/>
                                </a:moveTo>
                                <a:lnTo>
                                  <a:pt x="1461770" y="0"/>
                                </a:lnTo>
                              </a:path>
                            </a:pathLst>
                          </a:custGeom>
                          <a:ln w="1273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9" style="width:459.75pt;height:1.003pt;mso-position-horizontal-relative:char;mso-position-vertical-relative:line" coordsize="58388,127">
                <v:shape id="Shape 38" style="position:absolute;width:43148;height:0;left:0;top:0;" coordsize="4314825,0" path="m0,0l4314825,0">
                  <v:stroke weight="1.003pt" endcap="flat" joinstyle="round" on="true" color="#000000"/>
                  <v:fill on="false" color="#000000" opacity="0"/>
                </v:shape>
                <v:shape id="Shape 39" style="position:absolute;width:14617;height:0;left:43770;top:0;" coordsize="1461770,0" path="m0,0l1461770,0">
                  <v:stroke weight="1.00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50580" w:rsidRDefault="007029AA">
      <w:pPr>
        <w:tabs>
          <w:tab w:val="center" w:pos="7696"/>
        </w:tabs>
        <w:spacing w:after="669" w:line="265" w:lineRule="auto"/>
        <w:ind w:left="0" w:firstLine="0"/>
      </w:pPr>
      <w:r>
        <w:rPr>
          <w:b/>
        </w:rPr>
        <w:t xml:space="preserve"> Signature of Principal or Designee </w:t>
      </w:r>
      <w:r>
        <w:rPr>
          <w:b/>
        </w:rPr>
        <w:tab/>
        <w:t xml:space="preserve">Date Signed </w:t>
      </w: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E43A21" w:rsidRDefault="00E43A21" w:rsidP="00E43A21">
      <w:pPr>
        <w:spacing w:after="151" w:line="259" w:lineRule="auto"/>
        <w:rPr>
          <w:b/>
        </w:rPr>
      </w:pPr>
    </w:p>
    <w:p w:rsidR="00750580" w:rsidRDefault="007029AA">
      <w:pPr>
        <w:pStyle w:val="Heading1"/>
        <w:spacing w:after="895"/>
        <w:ind w:left="14"/>
      </w:pPr>
      <w:bookmarkStart w:id="0" w:name="_GoBack"/>
      <w:bookmarkEnd w:id="0"/>
      <w:r>
        <w:t xml:space="preserve">Mission Statement (Optional) </w:t>
      </w:r>
    </w:p>
    <w:p w:rsidR="00750580" w:rsidRDefault="007029AA">
      <w:pPr>
        <w:spacing w:after="1059" w:line="259" w:lineRule="auto"/>
        <w:ind w:left="89" w:firstLine="0"/>
      </w:pPr>
      <w:r>
        <w:rPr>
          <w:b/>
        </w:rPr>
        <w:t>Parental and Family Engagement Mission Statement (Optional)</w:t>
      </w:r>
      <w:r>
        <w:t xml:space="preserve"> </w:t>
      </w:r>
    </w:p>
    <w:p w:rsidR="00750580" w:rsidRDefault="007029AA">
      <w:pPr>
        <w:spacing w:after="1083" w:line="236" w:lineRule="auto"/>
        <w:ind w:left="120" w:right="93"/>
      </w:pPr>
      <w:r>
        <w:t xml:space="preserve">How the parent and family engagement plan is a shared responsibility? (Optional) </w:t>
      </w:r>
    </w:p>
    <w:p w:rsidR="00750580" w:rsidRDefault="007029AA">
      <w:pPr>
        <w:spacing w:after="531" w:line="236" w:lineRule="auto"/>
        <w:ind w:left="120" w:right="93"/>
      </w:pPr>
      <w:r>
        <w:t>How the parent and family engagement will assist in providing high quality instruction for all learners? (Optional)</w:t>
      </w:r>
    </w:p>
    <w:p w:rsidR="00750580" w:rsidRDefault="007029AA">
      <w:pPr>
        <w:pStyle w:val="Heading1"/>
        <w:ind w:left="14"/>
      </w:pPr>
      <w:r>
        <w:t xml:space="preserve">Involvement of Parents </w:t>
      </w:r>
    </w:p>
    <w:p w:rsidR="00750580" w:rsidRDefault="007029AA">
      <w:pPr>
        <w:spacing w:after="3"/>
        <w:ind w:left="14"/>
      </w:pPr>
      <w:r>
        <w:t>How the school will involve the pa</w:t>
      </w:r>
      <w:r>
        <w:t xml:space="preserve">rents and families in an organized, ongoing, and timely manner, in the planning, reviewing and improvement of Title I programs, including involvement in decision making of how funds for Title I will be used? [Elementary Student Education Act 1116] </w:t>
      </w:r>
    </w:p>
    <w:p w:rsidR="00750580" w:rsidRDefault="007029AA">
      <w:pPr>
        <w:spacing w:after="273" w:line="259" w:lineRule="auto"/>
        <w:ind w:left="3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57875" cy="1238250"/>
                <wp:effectExtent l="0" t="0" r="0" b="0"/>
                <wp:docPr id="9024" name="Group 9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238250"/>
                          <a:chOff x="0" y="0"/>
                          <a:chExt cx="5857875" cy="123825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5857875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 h="1238250">
                                <a:moveTo>
                                  <a:pt x="0" y="0"/>
                                </a:moveTo>
                                <a:lnTo>
                                  <a:pt x="5857875" y="0"/>
                                </a:lnTo>
                                <a:lnTo>
                                  <a:pt x="5857875" y="1238250"/>
                                </a:lnTo>
                                <a:lnTo>
                                  <a:pt x="0" y="1238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4" style="width:461.25pt;height:97.5pt;mso-position-horizontal-relative:char;mso-position-vertical-relative:line" coordsize="58578,12382">
                <v:shape id="Shape 188" style="position:absolute;width:58578;height:12382;left:0;top:0;" coordsize="5857875,1238250" path="m0,0l5857875,0l5857875,1238250l0,1238250l0,0x">
                  <v:stroke weight="0.75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:rsidR="00750580" w:rsidRDefault="007029AA">
      <w:pPr>
        <w:pStyle w:val="Heading1"/>
        <w:ind w:left="14"/>
      </w:pPr>
      <w:r>
        <w:t>Coord</w:t>
      </w:r>
      <w:r>
        <w:t xml:space="preserve">ination and Integration with Other Federal Programs </w:t>
      </w:r>
    </w:p>
    <w:p w:rsidR="00750580" w:rsidRDefault="007029AA">
      <w:pPr>
        <w:spacing w:after="2"/>
        <w:ind w:left="14"/>
      </w:pPr>
      <w:r>
        <w:t>How the school will coordinate and integrate parent and family activities that teach parents how to help their child(</w:t>
      </w:r>
      <w:proofErr w:type="spellStart"/>
      <w:r>
        <w:t>ren</w:t>
      </w:r>
      <w:proofErr w:type="spellEnd"/>
      <w:r>
        <w:t xml:space="preserve">) at home? [Elementary Student Education Act Section 1116] </w:t>
      </w:r>
    </w:p>
    <w:p w:rsidR="00750580" w:rsidRDefault="007029AA">
      <w:pPr>
        <w:spacing w:after="106" w:line="259" w:lineRule="auto"/>
        <w:ind w:left="3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57875" cy="1066800"/>
                <wp:effectExtent l="0" t="0" r="0" b="0"/>
                <wp:docPr id="9025" name="Group 9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066800"/>
                          <a:chOff x="0" y="0"/>
                          <a:chExt cx="5857875" cy="106680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5857875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5" h="1066800">
                                <a:moveTo>
                                  <a:pt x="0" y="0"/>
                                </a:moveTo>
                                <a:lnTo>
                                  <a:pt x="5857875" y="0"/>
                                </a:lnTo>
                                <a:lnTo>
                                  <a:pt x="5857875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5" style="width:461.25pt;height:84pt;mso-position-horizontal-relative:char;mso-position-vertical-relative:line" coordsize="58578,10668">
                <v:shape id="Shape 189" style="position:absolute;width:58578;height:10668;left:0;top:0;" coordsize="5857875,1066800" path="m0,0l5857875,0l5857875,1066800l0,1066800l0,0x">
                  <v:stroke weight="0.75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tbl>
      <w:tblPr>
        <w:tblStyle w:val="TableGrid"/>
        <w:tblW w:w="9350" w:type="dxa"/>
        <w:tblInd w:w="24" w:type="dxa"/>
        <w:tblCellMar>
          <w:top w:w="48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63"/>
        <w:gridCol w:w="3103"/>
        <w:gridCol w:w="5484"/>
      </w:tblGrid>
      <w:tr w:rsidR="00750580">
        <w:trPr>
          <w:trHeight w:val="27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Count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Program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Coordination </w:t>
            </w:r>
          </w:p>
        </w:tc>
      </w:tr>
      <w:tr w:rsidR="00750580">
        <w:trPr>
          <w:trHeight w:val="54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lastRenderedPageBreak/>
              <w:t xml:space="preserve">1.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IDEA (ESE)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Provide information to parents about the resources available upon development of the student’s IEP. </w:t>
            </w:r>
          </w:p>
        </w:tc>
      </w:tr>
      <w:tr w:rsidR="00750580">
        <w:trPr>
          <w:trHeight w:val="8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Title III (ESOL)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The school and district ELL rep will provide literature and resources to parents at various evening events, and parent events. </w:t>
            </w:r>
          </w:p>
        </w:tc>
      </w:tr>
      <w:tr w:rsidR="00750580">
        <w:trPr>
          <w:trHeight w:val="8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Title IX (Families in Transitions)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The Families </w:t>
            </w:r>
            <w:proofErr w:type="gramStart"/>
            <w:r>
              <w:t>In</w:t>
            </w:r>
            <w:proofErr w:type="gramEnd"/>
            <w:r>
              <w:t xml:space="preserve"> Transition (FIT) parents are provided taxis for registrations and parent conferences.  Also, health and social services. </w:t>
            </w:r>
          </w:p>
        </w:tc>
      </w:tr>
      <w:tr w:rsidR="00750580">
        <w:trPr>
          <w:trHeight w:val="10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Title II (Staff Development)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>The professional development activities are facilitated and monitored by the resour</w:t>
            </w:r>
            <w:r>
              <w:t xml:space="preserve">ce teacher and District Professional Development department in relation to parent involvement. </w:t>
            </w:r>
          </w:p>
        </w:tc>
      </w:tr>
      <w:tr w:rsidR="00750580">
        <w:trPr>
          <w:trHeight w:val="135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5.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t xml:space="preserve">Title IV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The Student </w:t>
            </w:r>
            <w:r>
              <w:t xml:space="preserve">Support and Academic Enrichment (SSAE) program is designed to help schools provide a </w:t>
            </w:r>
            <w:proofErr w:type="spellStart"/>
            <w:r>
              <w:t>wellrounded</w:t>
            </w:r>
            <w:proofErr w:type="spellEnd"/>
            <w:r>
              <w:t xml:space="preserve"> education, improve safe &amp; healthy school conditions for student learning, and improve the use of technology. </w:t>
            </w:r>
          </w:p>
        </w:tc>
      </w:tr>
    </w:tbl>
    <w:p w:rsidR="00750580" w:rsidRDefault="007029AA">
      <w:pPr>
        <w:pStyle w:val="Heading1"/>
        <w:ind w:left="14"/>
      </w:pPr>
      <w:r>
        <w:t xml:space="preserve">Annual Parent Meeting </w:t>
      </w:r>
    </w:p>
    <w:p w:rsidR="00750580" w:rsidRDefault="007029AA">
      <w:pPr>
        <w:spacing w:after="2462"/>
        <w:ind w:left="14" w:right="128"/>
      </w:pPr>
      <w:r>
        <w:t>A description of the specific steps the school will take to conduct the annual meeting to inform parents and families of participating children about the school’s Title I Program</w:t>
      </w:r>
      <w:r>
        <w:t>.</w:t>
      </w:r>
    </w:p>
    <w:tbl>
      <w:tblPr>
        <w:tblStyle w:val="TableGrid"/>
        <w:tblW w:w="9350" w:type="dxa"/>
        <w:tblInd w:w="-106" w:type="dxa"/>
        <w:tblCellMar>
          <w:top w:w="7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63"/>
        <w:gridCol w:w="2172"/>
        <w:gridCol w:w="2597"/>
        <w:gridCol w:w="1200"/>
        <w:gridCol w:w="2618"/>
      </w:tblGrid>
      <w:tr w:rsidR="00750580">
        <w:trPr>
          <w:trHeight w:val="27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Count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Activity/Tasks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Person Responsible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Timeline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48" w:firstLine="0"/>
            </w:pPr>
            <w:r>
              <w:rPr>
                <w:b/>
              </w:rPr>
              <w:t xml:space="preserve">Evidence of Effectiveness </w:t>
            </w:r>
          </w:p>
        </w:tc>
      </w:tr>
      <w:tr w:rsidR="00750580">
        <w:trPr>
          <w:trHeight w:val="10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Create flyer, </w:t>
            </w:r>
          </w:p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PowerPoint, agenda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3" w:firstLine="0"/>
            </w:pPr>
            <w:r>
              <w:t xml:space="preserve">August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53" w:firstLine="0"/>
            </w:pPr>
            <w:r>
              <w:t xml:space="preserve">Copies of agenda, minutes, sign-in sheets, flyer, PowerPoint presentation </w:t>
            </w:r>
          </w:p>
        </w:tc>
      </w:tr>
      <w:tr w:rsidR="00750580">
        <w:trPr>
          <w:trHeight w:val="109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Advertise in school newsletter, on school marquee, utilize Iris out dial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3" w:firstLine="0"/>
            </w:pPr>
            <w:r>
              <w:t xml:space="preserve">August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Emails, newsletter </w:t>
            </w:r>
          </w:p>
        </w:tc>
      </w:tr>
      <w:tr w:rsidR="00750580">
        <w:trPr>
          <w:trHeight w:val="50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19" w:firstLine="0"/>
            </w:pPr>
            <w:r>
              <w:t xml:space="preserve">3.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19" w:firstLine="0"/>
            </w:pPr>
            <w:r>
              <w:t xml:space="preserve">Sign-in sheet for multiple sessions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2" w:firstLine="0"/>
            </w:pPr>
            <w:r>
              <w:t xml:space="preserve">August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2" w:firstLine="0"/>
            </w:pPr>
            <w:r>
              <w:t xml:space="preserve">Collection of sign-in sheets </w:t>
            </w:r>
          </w:p>
        </w:tc>
      </w:tr>
      <w:tr w:rsidR="00750580">
        <w:trPr>
          <w:trHeight w:val="8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19" w:firstLine="0"/>
            </w:pPr>
            <w:r>
              <w:lastRenderedPageBreak/>
              <w:t xml:space="preserve">4.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19" w:firstLine="0"/>
            </w:pPr>
            <w:r>
              <w:t xml:space="preserve">Compile documents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2" w:firstLine="0"/>
            </w:pPr>
            <w:r>
              <w:t xml:space="preserve">September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2" w:firstLine="0"/>
            </w:pPr>
            <w:r>
              <w:t xml:space="preserve">Scan documents upload to LEA monitoring </w:t>
            </w:r>
            <w:r>
              <w:t>site</w:t>
            </w:r>
          </w:p>
        </w:tc>
      </w:tr>
    </w:tbl>
    <w:p w:rsidR="00750580" w:rsidRDefault="007029AA">
      <w:pPr>
        <w:pStyle w:val="Heading1"/>
        <w:ind w:left="14"/>
      </w:pPr>
      <w:r>
        <w:t xml:space="preserve">Flexible Parent Meetings </w:t>
      </w:r>
    </w:p>
    <w:p w:rsidR="00750580" w:rsidRDefault="007029AA">
      <w:pPr>
        <w:ind w:left="14"/>
      </w:pPr>
      <w:r>
        <w:t xml:space="preserve">How will the school offer a flexible number of meetings, such as meetings in the morning or evening? </w:t>
      </w:r>
    </w:p>
    <w:p w:rsidR="00750580" w:rsidRDefault="007029AA">
      <w:pPr>
        <w:spacing w:after="3214"/>
        <w:ind w:left="14"/>
      </w:pPr>
      <w:r>
        <w:t>How will the school provide, with Title I funds, transportations, child care or home visits, as such services relate to parents and family engagement? [Ev</w:t>
      </w:r>
      <w:r>
        <w:t xml:space="preserve">ery Student Education Act Section 1116] </w:t>
      </w:r>
    </w:p>
    <w:p w:rsidR="00750580" w:rsidRDefault="007029AA">
      <w:pPr>
        <w:pStyle w:val="Heading1"/>
        <w:spacing w:after="241"/>
        <w:ind w:left="14"/>
      </w:pPr>
      <w:r>
        <w:t xml:space="preserve">Building Capacity </w:t>
      </w:r>
    </w:p>
    <w:p w:rsidR="00750580" w:rsidRDefault="007029AA">
      <w:pPr>
        <w:spacing w:after="2815"/>
        <w:ind w:left="14"/>
      </w:pPr>
      <w:r>
        <w:t>How the school will provide other reasonable support for parent/family engagement activities</w:t>
      </w:r>
      <w:r>
        <w:t>.</w:t>
      </w:r>
      <w:r>
        <w:t xml:space="preserve"> [Every Student Education Act Section 1116] </w:t>
      </w:r>
    </w:p>
    <w:tbl>
      <w:tblPr>
        <w:tblStyle w:val="TableGrid"/>
        <w:tblW w:w="9353" w:type="dxa"/>
        <w:tblInd w:w="-106" w:type="dxa"/>
        <w:tblCellMar>
          <w:top w:w="4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765"/>
        <w:gridCol w:w="2021"/>
        <w:gridCol w:w="1349"/>
        <w:gridCol w:w="2614"/>
        <w:gridCol w:w="1049"/>
        <w:gridCol w:w="1555"/>
      </w:tblGrid>
      <w:tr w:rsidR="00750580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Count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Content and Type of Activity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Person Responsible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Anticipated Impact on Student Achievement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Timeline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Evidence or Effectiveness </w:t>
            </w:r>
          </w:p>
        </w:tc>
      </w:tr>
      <w:tr w:rsidR="00750580">
        <w:trPr>
          <w:trHeight w:val="13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0580">
        <w:trPr>
          <w:trHeight w:val="9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lastRenderedPageBreak/>
              <w:t xml:space="preserve">2.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8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7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8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</w:tbl>
    <w:p w:rsidR="00750580" w:rsidRDefault="007029AA">
      <w:pPr>
        <w:pStyle w:val="Heading1"/>
        <w:spacing w:after="33"/>
        <w:ind w:left="14"/>
      </w:pPr>
      <w:r>
        <w:t xml:space="preserve">Staff Training </w:t>
      </w:r>
    </w:p>
    <w:tbl>
      <w:tblPr>
        <w:tblStyle w:val="TableGrid"/>
        <w:tblW w:w="9353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855"/>
        <w:gridCol w:w="1937"/>
        <w:gridCol w:w="2198"/>
        <w:gridCol w:w="1008"/>
        <w:gridCol w:w="1550"/>
      </w:tblGrid>
      <w:tr w:rsidR="00750580">
        <w:trPr>
          <w:trHeight w:val="81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Count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Content and Type of Activity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Person Responsible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39" w:lineRule="auto"/>
              <w:ind w:left="0" w:right="2" w:firstLine="0"/>
              <w:jc w:val="center"/>
            </w:pPr>
            <w:r>
              <w:rPr>
                <w:b/>
              </w:rPr>
              <w:t xml:space="preserve">Anticipated Impact on Student </w:t>
            </w:r>
          </w:p>
          <w:p w:rsidR="00750580" w:rsidRDefault="007029A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Achievement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2" w:firstLine="0"/>
            </w:pPr>
            <w:r>
              <w:rPr>
                <w:b/>
              </w:rPr>
              <w:t>Timeline</w:t>
            </w:r>
            <w:r>
              <w:rPr>
                <w:b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Evidence of Effectiveness </w:t>
            </w:r>
          </w:p>
        </w:tc>
      </w:tr>
      <w:tr w:rsidR="00750580">
        <w:trPr>
          <w:trHeight w:val="13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Cultural </w:t>
            </w:r>
          </w:p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Sensitivity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5" w:firstLine="0"/>
            </w:pPr>
            <w:r>
              <w:t xml:space="preserve">Provide framework for developing cultural awareness to help the culture gap.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39" w:lineRule="auto"/>
              <w:ind w:left="0" w:firstLine="0"/>
            </w:pPr>
            <w:r>
              <w:t xml:space="preserve">sign-in sheets, minutes, agenda, PowerPoint </w:t>
            </w:r>
          </w:p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Presentation </w:t>
            </w:r>
          </w:p>
        </w:tc>
      </w:tr>
      <w:tr w:rsidR="00750580">
        <w:trPr>
          <w:trHeight w:val="13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5 Levels of Parent </w:t>
            </w:r>
          </w:p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Involvement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196" w:firstLine="0"/>
              <w:jc w:val="both"/>
            </w:pPr>
            <w:r>
              <w:t xml:space="preserve">Provide information about the 5 levels of parent involvement and parent’s rights.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50" w:firstLine="0"/>
            </w:pPr>
            <w:r>
              <w:t xml:space="preserve">sign-in sheets, </w:t>
            </w:r>
          </w:p>
          <w:p w:rsidR="00750580" w:rsidRDefault="007029AA">
            <w:pPr>
              <w:spacing w:after="0" w:line="239" w:lineRule="auto"/>
              <w:ind w:left="0" w:firstLine="0"/>
            </w:pPr>
            <w:r>
              <w:t xml:space="preserve">minutes, agenda, PowerPoint </w:t>
            </w:r>
          </w:p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Presentation </w:t>
            </w:r>
          </w:p>
        </w:tc>
      </w:tr>
      <w:tr w:rsidR="00750580">
        <w:trPr>
          <w:trHeight w:val="89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82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80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</w:tbl>
    <w:p w:rsidR="00750580" w:rsidRDefault="007029AA">
      <w:pPr>
        <w:pStyle w:val="Heading1"/>
        <w:ind w:left="14"/>
      </w:pPr>
      <w:r>
        <w:t xml:space="preserve">Other Activities </w:t>
      </w:r>
    </w:p>
    <w:p w:rsidR="00750580" w:rsidRDefault="007029AA">
      <w:pPr>
        <w:spacing w:after="1870"/>
        <w:ind w:left="14"/>
      </w:pPr>
      <w:r>
        <w:t>How other activities the school will conduct to encourage and support parents and families in more meaningful engagement in the education of their child(</w:t>
      </w:r>
      <w:proofErr w:type="spellStart"/>
      <w:r>
        <w:t>ren</w:t>
      </w:r>
      <w:proofErr w:type="spellEnd"/>
      <w:r>
        <w:t xml:space="preserve">)? [Every Student Education Act Section 1116] </w:t>
      </w:r>
    </w:p>
    <w:p w:rsidR="00750580" w:rsidRDefault="007029AA">
      <w:pPr>
        <w:pStyle w:val="Heading1"/>
        <w:ind w:left="14"/>
      </w:pPr>
      <w:r>
        <w:lastRenderedPageBreak/>
        <w:t xml:space="preserve">Communication </w:t>
      </w:r>
    </w:p>
    <w:p w:rsidR="00750580" w:rsidRDefault="007029AA">
      <w:pPr>
        <w:ind w:left="14"/>
      </w:pPr>
      <w:r>
        <w:t>How the school will provide timely inf</w:t>
      </w:r>
      <w:r>
        <w:t xml:space="preserve">ormation about the Title I programs? </w:t>
      </w:r>
    </w:p>
    <w:p w:rsidR="00750580" w:rsidRDefault="007029AA">
      <w:pPr>
        <w:spacing w:after="3607"/>
        <w:ind w:left="14"/>
      </w:pPr>
      <w:r>
        <w:t xml:space="preserve">How the school will describe and explain the curriculum at the school, the forms of assessment used to measure student progress and the achievement levels students are expected to obtain? </w:t>
      </w:r>
    </w:p>
    <w:p w:rsidR="00750580" w:rsidRDefault="007029AA">
      <w:pPr>
        <w:spacing w:after="3606"/>
        <w:ind w:left="14"/>
      </w:pPr>
      <w:r>
        <w:t>How, if requested by parents,</w:t>
      </w:r>
      <w:r>
        <w:t xml:space="preserve"> the school provides opportunities for regular meetings to formulate suggestions and to participate, as appropriate, in decisions relating to the education of their child(</w:t>
      </w:r>
      <w:proofErr w:type="spellStart"/>
      <w:r>
        <w:t>ren</w:t>
      </w:r>
      <w:proofErr w:type="spellEnd"/>
      <w:r>
        <w:t xml:space="preserve">)? </w:t>
      </w:r>
    </w:p>
    <w:p w:rsidR="00750580" w:rsidRDefault="007029AA">
      <w:pPr>
        <w:ind w:left="14"/>
      </w:pPr>
      <w:r>
        <w:t xml:space="preserve">How the school will submit </w:t>
      </w:r>
      <w:proofErr w:type="gramStart"/>
      <w:r>
        <w:t>parents</w:t>
      </w:r>
      <w:proofErr w:type="gramEnd"/>
      <w:r>
        <w:t>/families comments if the school-wide plan i</w:t>
      </w:r>
      <w:r>
        <w:t xml:space="preserve">s not satisfactory to them? [Every Student Education Act Section 1116] </w:t>
      </w:r>
    </w:p>
    <w:p w:rsidR="00750580" w:rsidRDefault="007029AA">
      <w:pPr>
        <w:pStyle w:val="Heading1"/>
        <w:ind w:left="14"/>
      </w:pPr>
      <w:r>
        <w:t xml:space="preserve">Accessibility </w:t>
      </w:r>
    </w:p>
    <w:p w:rsidR="00750580" w:rsidRDefault="007029AA">
      <w:pPr>
        <w:spacing w:after="2970"/>
        <w:ind w:left="14"/>
      </w:pPr>
      <w:r>
        <w:t xml:space="preserve">A description of how the school will provide full opportunities for participation in parent/family engagement activities for all parents/families? </w:t>
      </w:r>
    </w:p>
    <w:p w:rsidR="00750580" w:rsidRDefault="007029AA">
      <w:pPr>
        <w:spacing w:after="1877" w:line="256" w:lineRule="auto"/>
        <w:ind w:left="4" w:right="261" w:firstLine="0"/>
        <w:jc w:val="both"/>
      </w:pPr>
      <w:r>
        <w:lastRenderedPageBreak/>
        <w:t xml:space="preserve">A description of how the school will share information related to school and parent/family programs, meetings, school reports, and other activities in an understandable, uniform format, and in languages that the parents/families can understand? </w:t>
      </w:r>
    </w:p>
    <w:p w:rsidR="00750580" w:rsidRDefault="007029AA">
      <w:pPr>
        <w:pStyle w:val="Heading1"/>
        <w:ind w:left="14"/>
      </w:pPr>
      <w:r>
        <w:t>Discretion</w:t>
      </w:r>
      <w:r>
        <w:t xml:space="preserve">ary (Optional) </w:t>
      </w:r>
    </w:p>
    <w:p w:rsidR="00750580" w:rsidRDefault="007029AA">
      <w:pPr>
        <w:spacing w:after="4"/>
        <w:ind w:left="14"/>
      </w:pPr>
      <w:r>
        <w:t xml:space="preserve">Any activities that are not required, but will be paid for through Title I, Part A funding (for example, home visits, transportation for meetings, activities related to parent/family engagement. Etc.) </w:t>
      </w:r>
      <w:r>
        <w:rPr>
          <w:b/>
        </w:rPr>
        <w:t xml:space="preserve">(Optional) </w:t>
      </w:r>
    </w:p>
    <w:tbl>
      <w:tblPr>
        <w:tblStyle w:val="TableGrid"/>
        <w:tblW w:w="9350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63"/>
        <w:gridCol w:w="1032"/>
        <w:gridCol w:w="2520"/>
        <w:gridCol w:w="1620"/>
        <w:gridCol w:w="2407"/>
        <w:gridCol w:w="1008"/>
      </w:tblGrid>
      <w:tr w:rsidR="00750580">
        <w:trPr>
          <w:trHeight w:val="54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Count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Activity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Descriptio</w:t>
            </w:r>
            <w:r>
              <w:rPr>
                <w:b/>
              </w:rPr>
              <w:t xml:space="preserve">n of Implementation Strategy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Person Responsible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Anticipated Impact on Student Achievement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Timeline </w:t>
            </w:r>
          </w:p>
        </w:tc>
      </w:tr>
      <w:tr w:rsidR="00750580">
        <w:trPr>
          <w:trHeight w:val="9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9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9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9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9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>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</w:tbl>
    <w:p w:rsidR="00750580" w:rsidRDefault="007029AA">
      <w:pPr>
        <w:pStyle w:val="Heading1"/>
        <w:ind w:left="14"/>
      </w:pPr>
      <w:r>
        <w:t xml:space="preserve">Barriers </w:t>
      </w:r>
    </w:p>
    <w:p w:rsidR="00750580" w:rsidRDefault="007029AA">
      <w:pPr>
        <w:spacing w:after="1822"/>
        <w:ind w:left="14"/>
      </w:pPr>
      <w:r>
        <w:t xml:space="preserve">A description of the barriers that hindered participation by parents during the previous school year from the school end of year survey? </w:t>
      </w:r>
    </w:p>
    <w:p w:rsidR="00750580" w:rsidRDefault="007029AA">
      <w:pPr>
        <w:spacing w:after="1644"/>
        <w:ind w:left="14"/>
      </w:pPr>
      <w:r>
        <w:lastRenderedPageBreak/>
        <w:t>A description of the steps the school will take during the upcoming school year to overcome the barriers (with particu</w:t>
      </w:r>
      <w:r>
        <w:t xml:space="preserve">lar attention paid to parents/families who are disabled, have limited English proficiency, and parents/families of migratory children? </w:t>
      </w:r>
    </w:p>
    <w:tbl>
      <w:tblPr>
        <w:tblStyle w:val="TableGrid"/>
        <w:tblW w:w="9350" w:type="dxa"/>
        <w:tblInd w:w="5" w:type="dxa"/>
        <w:tblCellMar>
          <w:top w:w="38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63"/>
        <w:gridCol w:w="4272"/>
        <w:gridCol w:w="4315"/>
      </w:tblGrid>
      <w:tr w:rsidR="00750580">
        <w:trPr>
          <w:trHeight w:val="609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Count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Barrier (Including the Specific Subgroup) 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Steps the school will take to overcome </w:t>
            </w:r>
          </w:p>
        </w:tc>
      </w:tr>
      <w:tr w:rsidR="00750580">
        <w:trPr>
          <w:trHeight w:val="609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Transportation 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609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Language Barrier 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604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Child Care 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1050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  <w:tr w:rsidR="00750580">
        <w:trPr>
          <w:trHeight w:val="1160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029AA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0580" w:rsidRDefault="00750580">
            <w:pPr>
              <w:spacing w:after="160" w:line="259" w:lineRule="auto"/>
              <w:ind w:left="0" w:firstLine="0"/>
            </w:pPr>
          </w:p>
        </w:tc>
      </w:tr>
    </w:tbl>
    <w:p w:rsidR="007029AA" w:rsidRDefault="007029AA"/>
    <w:sectPr w:rsidR="007029AA">
      <w:headerReference w:type="default" r:id="rId7"/>
      <w:pgSz w:w="12240" w:h="15840"/>
      <w:pgMar w:top="1481" w:right="1465" w:bottom="986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AA" w:rsidRDefault="007029AA" w:rsidP="00E43A21">
      <w:pPr>
        <w:spacing w:after="0" w:line="240" w:lineRule="auto"/>
      </w:pPr>
      <w:r>
        <w:separator/>
      </w:r>
    </w:p>
  </w:endnote>
  <w:endnote w:type="continuationSeparator" w:id="0">
    <w:p w:rsidR="007029AA" w:rsidRDefault="007029AA" w:rsidP="00E4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AA" w:rsidRDefault="007029AA" w:rsidP="00E43A21">
      <w:pPr>
        <w:spacing w:after="0" w:line="240" w:lineRule="auto"/>
      </w:pPr>
      <w:r>
        <w:separator/>
      </w:r>
    </w:p>
  </w:footnote>
  <w:footnote w:type="continuationSeparator" w:id="0">
    <w:p w:rsidR="007029AA" w:rsidRDefault="007029AA" w:rsidP="00E4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21" w:rsidRPr="0086521E" w:rsidRDefault="00E43A21" w:rsidP="00E43A21">
    <w:pPr>
      <w:keepNext/>
      <w:keepLines/>
      <w:spacing w:after="0"/>
      <w:ind w:right="-180"/>
      <w:jc w:val="center"/>
      <w:outlineLvl w:val="4"/>
      <w:rPr>
        <w:rFonts w:ascii="Bodoni MT" w:eastAsia="Times New Roman" w:hAnsi="Bodoni MT" w:cs="Arial"/>
        <w:b/>
        <w:iCs/>
        <w:sz w:val="36"/>
        <w:szCs w:val="36"/>
      </w:rPr>
    </w:pPr>
    <w:bookmarkStart w:id="1" w:name="_Hlk47969793"/>
    <w:bookmarkStart w:id="2" w:name="_Hlk47969794"/>
    <w:bookmarkStart w:id="3" w:name="_Hlk47969953"/>
    <w:bookmarkStart w:id="4" w:name="_Hlk47969954"/>
    <w:bookmarkStart w:id="5" w:name="_Hlk47969972"/>
    <w:bookmarkStart w:id="6" w:name="_Hlk47969973"/>
    <w:r w:rsidRPr="0086521E">
      <w:rPr>
        <w:rFonts w:ascii="Bodoni MT" w:eastAsia="Times New Roman" w:hAnsi="Bodoni MT" w:cs="Arial"/>
        <w:b/>
        <w:bCs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2729088" wp14:editId="201F8122">
          <wp:simplePos x="0" y="0"/>
          <wp:positionH relativeFrom="margin">
            <wp:posOffset>-457200</wp:posOffset>
          </wp:positionH>
          <wp:positionV relativeFrom="margin">
            <wp:posOffset>-1099185</wp:posOffset>
          </wp:positionV>
          <wp:extent cx="819785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21E">
      <w:rPr>
        <w:rFonts w:ascii="Bodoni MT" w:eastAsia="Times New Roman" w:hAnsi="Bodoni MT" w:cs="Arial"/>
        <w:b/>
        <w:iCs/>
        <w:sz w:val="36"/>
        <w:szCs w:val="36"/>
      </w:rPr>
      <w:t>Main Street High School</w:t>
    </w:r>
  </w:p>
  <w:p w:rsidR="00E43A21" w:rsidRPr="0086521E" w:rsidRDefault="00E43A21" w:rsidP="00E43A21">
    <w:pPr>
      <w:keepNext/>
      <w:keepLines/>
      <w:spacing w:after="0"/>
      <w:ind w:right="-180"/>
      <w:jc w:val="center"/>
      <w:outlineLvl w:val="4"/>
      <w:rPr>
        <w:rFonts w:eastAsia="Times New Roman" w:cs="Arial"/>
        <w:iCs/>
        <w:sz w:val="18"/>
        <w:szCs w:val="18"/>
      </w:rPr>
    </w:pPr>
    <w:r w:rsidRPr="0086521E">
      <w:rPr>
        <w:rFonts w:eastAsia="Times New Roman" w:cs="Arial"/>
        <w:iCs/>
        <w:sz w:val="18"/>
        <w:szCs w:val="18"/>
      </w:rPr>
      <w:t>1100 North Main Street, Kissimmee FL 34741</w:t>
    </w:r>
  </w:p>
  <w:p w:rsidR="00E43A21" w:rsidRPr="0086521E" w:rsidRDefault="00E43A21" w:rsidP="00E43A21">
    <w:pPr>
      <w:spacing w:after="0" w:line="240" w:lineRule="auto"/>
      <w:ind w:right="-180"/>
      <w:jc w:val="center"/>
      <w:rPr>
        <w:rFonts w:eastAsia="Times New Roman" w:cs="Arial"/>
        <w:sz w:val="18"/>
        <w:szCs w:val="18"/>
      </w:rPr>
    </w:pPr>
    <w:r w:rsidRPr="0086521E">
      <w:rPr>
        <w:rFonts w:eastAsia="Times New Roman" w:cs="Arial"/>
        <w:sz w:val="18"/>
        <w:szCs w:val="18"/>
      </w:rPr>
      <w:t>Phone:  321-250-1871 * Fax:  407-846-0816</w:t>
    </w:r>
  </w:p>
  <w:p w:rsidR="00E43A21" w:rsidRPr="0086521E" w:rsidRDefault="00E43A21" w:rsidP="00E43A21">
    <w:pPr>
      <w:tabs>
        <w:tab w:val="center" w:pos="4680"/>
        <w:tab w:val="right" w:pos="9360"/>
      </w:tabs>
      <w:spacing w:after="0" w:line="240" w:lineRule="auto"/>
      <w:jc w:val="center"/>
    </w:pPr>
    <w:hyperlink r:id="rId2" w:history="1">
      <w:r w:rsidRPr="0086521E">
        <w:rPr>
          <w:rFonts w:eastAsia="Times New Roman" w:cs="Arial"/>
          <w:color w:val="0000FF"/>
          <w:sz w:val="18"/>
          <w:szCs w:val="18"/>
          <w:u w:val="single"/>
        </w:rPr>
        <w:t>www.MainStreetHigh.com</w:t>
      </w:r>
    </w:hyperlink>
  </w:p>
  <w:p w:rsidR="00E43A21" w:rsidRDefault="00E43A21" w:rsidP="00E43A21">
    <w:pPr>
      <w:tabs>
        <w:tab w:val="center" w:pos="4680"/>
        <w:tab w:val="right" w:pos="9360"/>
      </w:tabs>
      <w:spacing w:after="0" w:line="240" w:lineRule="auto"/>
      <w:jc w:val="center"/>
    </w:pPr>
    <w:r w:rsidRPr="0086521E">
      <w:t xml:space="preserve">         </w:t>
    </w:r>
    <w:r>
      <w:t xml:space="preserve">       Principal Christine Perez</w:t>
    </w:r>
    <w:bookmarkEnd w:id="1"/>
    <w:bookmarkEnd w:id="2"/>
    <w:bookmarkEnd w:id="3"/>
    <w:bookmarkEnd w:id="4"/>
    <w:bookmarkEnd w:id="5"/>
    <w:bookmarkEnd w:id="6"/>
  </w:p>
  <w:p w:rsidR="00E43A21" w:rsidRPr="00E43A21" w:rsidRDefault="00E43A21" w:rsidP="00E4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5514"/>
    <w:multiLevelType w:val="hybridMultilevel"/>
    <w:tmpl w:val="52B0A3D2"/>
    <w:lvl w:ilvl="0" w:tplc="537E7A60">
      <w:start w:val="1"/>
      <w:numFmt w:val="bullet"/>
      <w:lvlText w:val="•"/>
      <w:lvlJc w:val="left"/>
      <w:pPr>
        <w:ind w:left="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A8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B6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85E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C17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44F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0EE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6E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E79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80"/>
    <w:rsid w:val="006C66FE"/>
    <w:rsid w:val="007029AA"/>
    <w:rsid w:val="00750580"/>
    <w:rsid w:val="00C218BE"/>
    <w:rsid w:val="00E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E09C"/>
  <w15:docId w15:val="{F4874A81-8A92-45C6-8D4C-134343B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5" w:lineRule="auto"/>
      <w:ind w:left="40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5" w:line="265" w:lineRule="auto"/>
      <w:ind w:left="13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StreetHig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Nomary Diaz Benitez</dc:creator>
  <cp:keywords/>
  <cp:lastModifiedBy>Juan Ruiz</cp:lastModifiedBy>
  <cp:revision>2</cp:revision>
  <dcterms:created xsi:type="dcterms:W3CDTF">2020-09-24T19:09:00Z</dcterms:created>
  <dcterms:modified xsi:type="dcterms:W3CDTF">2020-09-24T19:09:00Z</dcterms:modified>
</cp:coreProperties>
</file>