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C486" w14:textId="7FD3FA2B" w:rsidR="00462287" w:rsidRPr="00462287" w:rsidRDefault="0034140A" w:rsidP="00BF2C93">
      <w:pPr>
        <w:pStyle w:val="Default"/>
        <w:contextualSpacing/>
        <w:rPr>
          <w:sz w:val="22"/>
          <w:szCs w:val="22"/>
        </w:rPr>
      </w:pPr>
      <w:r>
        <w:rPr>
          <w:sz w:val="22"/>
          <w:szCs w:val="22"/>
          <w:highlight w:val="yellow"/>
        </w:rPr>
        <w:t>This template is being provided as a guide for districts to use when revising their Comparabilit</w:t>
      </w:r>
      <w:r w:rsidR="005E6955">
        <w:rPr>
          <w:sz w:val="22"/>
          <w:szCs w:val="22"/>
          <w:highlight w:val="yellow"/>
        </w:rPr>
        <w:t xml:space="preserve">y Written </w:t>
      </w:r>
      <w:r>
        <w:rPr>
          <w:sz w:val="22"/>
          <w:szCs w:val="22"/>
          <w:highlight w:val="yellow"/>
        </w:rPr>
        <w:t xml:space="preserve">Procedures. </w:t>
      </w:r>
      <w:r w:rsidR="00BF23B4" w:rsidRPr="00462287">
        <w:rPr>
          <w:sz w:val="22"/>
          <w:szCs w:val="22"/>
          <w:highlight w:val="yellow"/>
        </w:rPr>
        <w:t xml:space="preserve">Only </w:t>
      </w:r>
      <w:r w:rsidR="00A10886">
        <w:rPr>
          <w:sz w:val="22"/>
          <w:szCs w:val="22"/>
          <w:highlight w:val="yellow"/>
        </w:rPr>
        <w:t>Local Educational Agencies (</w:t>
      </w:r>
      <w:r w:rsidR="00BF23B4" w:rsidRPr="00462287">
        <w:rPr>
          <w:sz w:val="22"/>
          <w:szCs w:val="22"/>
          <w:highlight w:val="yellow"/>
        </w:rPr>
        <w:t>LEAs</w:t>
      </w:r>
      <w:r w:rsidR="00A10886">
        <w:rPr>
          <w:sz w:val="22"/>
          <w:szCs w:val="22"/>
          <w:highlight w:val="yellow"/>
        </w:rPr>
        <w:t>)</w:t>
      </w:r>
      <w:r w:rsidR="00BF23B4" w:rsidRPr="00462287">
        <w:rPr>
          <w:sz w:val="22"/>
          <w:szCs w:val="22"/>
          <w:highlight w:val="yellow"/>
        </w:rPr>
        <w:t xml:space="preserve"> meeting the following criteria may </w:t>
      </w:r>
      <w:r w:rsidR="005C02F9" w:rsidRPr="00462287">
        <w:rPr>
          <w:sz w:val="22"/>
          <w:szCs w:val="22"/>
          <w:highlight w:val="yellow"/>
        </w:rPr>
        <w:t xml:space="preserve">utilize </w:t>
      </w:r>
      <w:r w:rsidR="00BF23B4" w:rsidRPr="00462287">
        <w:rPr>
          <w:sz w:val="22"/>
          <w:szCs w:val="22"/>
          <w:highlight w:val="yellow"/>
        </w:rPr>
        <w:t>th</w:t>
      </w:r>
      <w:r w:rsidR="005C02F9" w:rsidRPr="00462287">
        <w:rPr>
          <w:sz w:val="22"/>
          <w:szCs w:val="22"/>
          <w:highlight w:val="yellow"/>
        </w:rPr>
        <w:t>is</w:t>
      </w:r>
      <w:r w:rsidR="00BF23B4" w:rsidRPr="00462287">
        <w:rPr>
          <w:sz w:val="22"/>
          <w:szCs w:val="22"/>
          <w:highlight w:val="yellow"/>
        </w:rPr>
        <w:t xml:space="preserve"> Not Applicable/</w:t>
      </w:r>
      <w:r w:rsidR="005C02F9" w:rsidRPr="00462287">
        <w:rPr>
          <w:sz w:val="22"/>
          <w:szCs w:val="22"/>
          <w:highlight w:val="yellow"/>
        </w:rPr>
        <w:t>E</w:t>
      </w:r>
      <w:r w:rsidR="00BF23B4" w:rsidRPr="00462287">
        <w:rPr>
          <w:sz w:val="22"/>
          <w:szCs w:val="22"/>
          <w:highlight w:val="yellow"/>
        </w:rPr>
        <w:t xml:space="preserve">xempt </w:t>
      </w:r>
      <w:r w:rsidR="005C02F9" w:rsidRPr="00462287">
        <w:rPr>
          <w:sz w:val="22"/>
          <w:szCs w:val="22"/>
          <w:highlight w:val="yellow"/>
        </w:rPr>
        <w:t>template</w:t>
      </w:r>
      <w:r w:rsidR="00F031EA">
        <w:rPr>
          <w:sz w:val="22"/>
          <w:szCs w:val="22"/>
          <w:highlight w:val="yellow"/>
        </w:rPr>
        <w:t>. If using this template, LEA</w:t>
      </w:r>
      <w:r>
        <w:rPr>
          <w:sz w:val="22"/>
          <w:szCs w:val="22"/>
          <w:highlight w:val="yellow"/>
        </w:rPr>
        <w:t xml:space="preserve">s must ensure all </w:t>
      </w:r>
      <w:r w:rsidRPr="0034140A">
        <w:rPr>
          <w:sz w:val="22"/>
          <w:szCs w:val="22"/>
          <w:highlight w:val="yellow"/>
        </w:rPr>
        <w:t xml:space="preserve">highlighted sections are </w:t>
      </w:r>
      <w:r w:rsidRPr="00F43356">
        <w:rPr>
          <w:sz w:val="22"/>
          <w:szCs w:val="22"/>
          <w:highlight w:val="yellow"/>
        </w:rPr>
        <w:t>updated</w:t>
      </w:r>
      <w:r w:rsidR="00CE09F3" w:rsidRPr="00F43356">
        <w:rPr>
          <w:sz w:val="22"/>
          <w:szCs w:val="22"/>
          <w:highlight w:val="yellow"/>
        </w:rPr>
        <w:t>, including the header,</w:t>
      </w:r>
      <w:r w:rsidRPr="00F43356">
        <w:rPr>
          <w:sz w:val="22"/>
          <w:szCs w:val="22"/>
          <w:highlight w:val="yellow"/>
        </w:rPr>
        <w:t xml:space="preserve"> and the completed report reflects the district’s current Comparability</w:t>
      </w:r>
      <w:r w:rsidR="005E6955">
        <w:rPr>
          <w:sz w:val="22"/>
          <w:szCs w:val="22"/>
          <w:highlight w:val="yellow"/>
        </w:rPr>
        <w:t xml:space="preserve"> Written </w:t>
      </w:r>
      <w:r w:rsidRPr="00F43356">
        <w:rPr>
          <w:sz w:val="22"/>
          <w:szCs w:val="22"/>
          <w:highlight w:val="yellow"/>
        </w:rPr>
        <w:t>Procedures.</w:t>
      </w:r>
      <w:r w:rsidR="00F031EA" w:rsidRPr="00F43356">
        <w:rPr>
          <w:sz w:val="22"/>
          <w:szCs w:val="22"/>
          <w:highlight w:val="yellow"/>
        </w:rPr>
        <w:t xml:space="preserve"> If not using this template</w:t>
      </w:r>
      <w:r w:rsidR="005E6955">
        <w:rPr>
          <w:sz w:val="22"/>
          <w:szCs w:val="22"/>
          <w:highlight w:val="yellow"/>
        </w:rPr>
        <w:t>,</w:t>
      </w:r>
      <w:r w:rsidR="00F031EA" w:rsidRPr="00F43356">
        <w:rPr>
          <w:sz w:val="22"/>
          <w:szCs w:val="22"/>
          <w:highlight w:val="yellow"/>
        </w:rPr>
        <w:t xml:space="preserve"> all required information should be included in the written procedures provided by the LEA.</w:t>
      </w:r>
      <w:r w:rsidR="00F031EA">
        <w:rPr>
          <w:sz w:val="22"/>
          <w:szCs w:val="22"/>
        </w:rPr>
        <w:t xml:space="preserve"> </w:t>
      </w:r>
    </w:p>
    <w:p w14:paraId="3A2F4274" w14:textId="77777777" w:rsidR="00462287" w:rsidRPr="00462287" w:rsidRDefault="00462287" w:rsidP="00BF2C93">
      <w:pPr>
        <w:pStyle w:val="Default"/>
        <w:contextualSpacing/>
        <w:rPr>
          <w:sz w:val="22"/>
          <w:szCs w:val="22"/>
        </w:rPr>
      </w:pPr>
    </w:p>
    <w:p w14:paraId="319A35D6" w14:textId="42E73028" w:rsidR="00BF23B4" w:rsidRPr="00462287" w:rsidRDefault="00462287" w:rsidP="00BF2C93">
      <w:pPr>
        <w:pStyle w:val="Default"/>
        <w:contextualSpacing/>
        <w:rPr>
          <w:sz w:val="22"/>
          <w:szCs w:val="22"/>
        </w:rPr>
      </w:pPr>
      <w:r w:rsidRPr="00462287">
        <w:rPr>
          <w:sz w:val="22"/>
          <w:szCs w:val="22"/>
        </w:rPr>
        <w:t>Please select the exemption your district qualifies for from the list below.</w:t>
      </w:r>
    </w:p>
    <w:p w14:paraId="7A3C363A" w14:textId="77777777" w:rsidR="00462287" w:rsidRDefault="00462287" w:rsidP="00BF2C93">
      <w:pPr>
        <w:pStyle w:val="Default"/>
        <w:contextualSpacing/>
        <w:rPr>
          <w:sz w:val="22"/>
          <w:szCs w:val="22"/>
        </w:rPr>
      </w:pPr>
    </w:p>
    <w:p w14:paraId="41CB6370" w14:textId="6051CBB8" w:rsidR="005E4D62" w:rsidRPr="0034140A" w:rsidRDefault="00223C6B" w:rsidP="00BF2C93">
      <w:pPr>
        <w:pStyle w:val="Default"/>
        <w:contextualSpacing/>
        <w:rPr>
          <w:color w:val="auto"/>
          <w:sz w:val="22"/>
          <w:szCs w:val="22"/>
        </w:rPr>
      </w:pPr>
      <w:sdt>
        <w:sdtPr>
          <w:rPr>
            <w:color w:val="auto"/>
            <w:sz w:val="22"/>
            <w:szCs w:val="22"/>
          </w:rPr>
          <w:id w:val="-643038231"/>
          <w14:checkbox>
            <w14:checked w14:val="0"/>
            <w14:checkedState w14:val="2612" w14:font="MS Gothic"/>
            <w14:uncheckedState w14:val="2610" w14:font="MS Gothic"/>
          </w14:checkbox>
        </w:sdtPr>
        <w:sdtEndPr/>
        <w:sdtContent>
          <w:r w:rsidR="005E4D62" w:rsidRPr="0034140A">
            <w:rPr>
              <w:rFonts w:ascii="MS Gothic" w:eastAsia="MS Gothic" w:hAnsi="MS Gothic" w:hint="eastAsia"/>
              <w:color w:val="auto"/>
              <w:sz w:val="22"/>
              <w:szCs w:val="22"/>
            </w:rPr>
            <w:t>☐</w:t>
          </w:r>
        </w:sdtContent>
      </w:sdt>
      <w:r w:rsidR="005E4D62" w:rsidRPr="0034140A">
        <w:rPr>
          <w:color w:val="auto"/>
          <w:sz w:val="22"/>
          <w:szCs w:val="22"/>
        </w:rPr>
        <w:t xml:space="preserve"> </w:t>
      </w:r>
      <w:r w:rsidR="0034140A">
        <w:rPr>
          <w:color w:val="auto"/>
          <w:sz w:val="22"/>
          <w:szCs w:val="22"/>
        </w:rPr>
        <w:t>A s</w:t>
      </w:r>
      <w:r w:rsidR="005E4D62" w:rsidRPr="0034140A">
        <w:rPr>
          <w:color w:val="auto"/>
          <w:sz w:val="22"/>
          <w:szCs w:val="22"/>
        </w:rPr>
        <w:t>chool site with fewer than 100 students.</w:t>
      </w:r>
    </w:p>
    <w:p w14:paraId="11E0505F" w14:textId="77777777" w:rsidR="0034140A" w:rsidRPr="0034140A" w:rsidRDefault="00223C6B" w:rsidP="00BF2C93">
      <w:pPr>
        <w:pStyle w:val="Default"/>
        <w:contextualSpacing/>
        <w:rPr>
          <w:color w:val="auto"/>
          <w:sz w:val="22"/>
          <w:szCs w:val="22"/>
        </w:rPr>
      </w:pPr>
      <w:sdt>
        <w:sdtPr>
          <w:rPr>
            <w:color w:val="auto"/>
            <w:sz w:val="22"/>
            <w:szCs w:val="22"/>
          </w:rPr>
          <w:id w:val="1461299008"/>
          <w14:checkbox>
            <w14:checked w14:val="0"/>
            <w14:checkedState w14:val="2612" w14:font="MS Gothic"/>
            <w14:uncheckedState w14:val="2610" w14:font="MS Gothic"/>
          </w14:checkbox>
        </w:sdtPr>
        <w:sdtEndPr/>
        <w:sdtContent>
          <w:r w:rsidR="005E4D62" w:rsidRPr="0034140A">
            <w:rPr>
              <w:rFonts w:ascii="MS Gothic" w:eastAsia="MS Gothic" w:hAnsi="MS Gothic" w:hint="eastAsia"/>
              <w:color w:val="auto"/>
              <w:sz w:val="22"/>
              <w:szCs w:val="22"/>
            </w:rPr>
            <w:t>☐</w:t>
          </w:r>
        </w:sdtContent>
      </w:sdt>
      <w:r w:rsidR="005E4D62" w:rsidRPr="0034140A">
        <w:rPr>
          <w:color w:val="auto"/>
          <w:sz w:val="22"/>
          <w:szCs w:val="22"/>
        </w:rPr>
        <w:t xml:space="preserve"> O</w:t>
      </w:r>
      <w:r w:rsidR="00462287" w:rsidRPr="0034140A">
        <w:rPr>
          <w:color w:val="auto"/>
          <w:sz w:val="22"/>
          <w:szCs w:val="22"/>
        </w:rPr>
        <w:t>ne school per grade span with no overlapping grades.</w:t>
      </w:r>
    </w:p>
    <w:p w14:paraId="5CE84D01" w14:textId="12DCEE21" w:rsidR="0034140A" w:rsidRPr="0034140A" w:rsidRDefault="00223C6B" w:rsidP="00BF2C93">
      <w:pPr>
        <w:pStyle w:val="Default"/>
        <w:contextualSpacing/>
        <w:rPr>
          <w:color w:val="auto"/>
          <w:sz w:val="22"/>
          <w:szCs w:val="22"/>
        </w:rPr>
      </w:pPr>
      <w:sdt>
        <w:sdtPr>
          <w:rPr>
            <w:color w:val="auto"/>
            <w:sz w:val="22"/>
            <w:szCs w:val="22"/>
          </w:rPr>
          <w:id w:val="1709914615"/>
          <w14:checkbox>
            <w14:checked w14:val="0"/>
            <w14:checkedState w14:val="2612" w14:font="MS Gothic"/>
            <w14:uncheckedState w14:val="2610" w14:font="MS Gothic"/>
          </w14:checkbox>
        </w:sdtPr>
        <w:sdtEndPr/>
        <w:sdtContent>
          <w:r w:rsidR="0034140A" w:rsidRPr="0034140A">
            <w:rPr>
              <w:rFonts w:ascii="Segoe UI Symbol" w:eastAsia="MS Gothic" w:hAnsi="Segoe UI Symbol" w:cs="Segoe UI Symbol"/>
              <w:color w:val="auto"/>
              <w:sz w:val="22"/>
              <w:szCs w:val="22"/>
            </w:rPr>
            <w:t>☐</w:t>
          </w:r>
        </w:sdtContent>
      </w:sdt>
      <w:r w:rsidR="0034140A" w:rsidRPr="0034140A">
        <w:rPr>
          <w:color w:val="auto"/>
          <w:sz w:val="22"/>
          <w:szCs w:val="22"/>
        </w:rPr>
        <w:t xml:space="preserve"> LEA has only one building for each grade span as aligned with </w:t>
      </w:r>
      <w:r w:rsidR="005E6955" w:rsidRPr="004A690E">
        <w:rPr>
          <w:sz w:val="22"/>
          <w:szCs w:val="22"/>
        </w:rPr>
        <w:t>the</w:t>
      </w:r>
      <w:r w:rsidR="005E6955">
        <w:rPr>
          <w:sz w:val="22"/>
          <w:szCs w:val="22"/>
        </w:rPr>
        <w:t>ir</w:t>
      </w:r>
      <w:r w:rsidR="005E6955" w:rsidRPr="004A690E">
        <w:rPr>
          <w:sz w:val="22"/>
          <w:szCs w:val="22"/>
        </w:rPr>
        <w:t xml:space="preserve"> Florida Department of Education’s Master School Identification System</w:t>
      </w:r>
      <w:r w:rsidR="005E6955">
        <w:rPr>
          <w:sz w:val="22"/>
          <w:szCs w:val="22"/>
        </w:rPr>
        <w:t xml:space="preserve"> (MSID) number</w:t>
      </w:r>
      <w:r w:rsidR="0034140A" w:rsidRPr="0034140A">
        <w:rPr>
          <w:color w:val="auto"/>
          <w:sz w:val="22"/>
          <w:szCs w:val="22"/>
        </w:rPr>
        <w:t xml:space="preserve">. </w:t>
      </w:r>
    </w:p>
    <w:p w14:paraId="56DF1347" w14:textId="77777777" w:rsidR="0034140A" w:rsidRPr="0034140A" w:rsidRDefault="0034140A" w:rsidP="00BF2C93">
      <w:pPr>
        <w:pStyle w:val="Default"/>
        <w:numPr>
          <w:ilvl w:val="0"/>
          <w:numId w:val="3"/>
        </w:numPr>
        <w:contextualSpacing/>
        <w:rPr>
          <w:color w:val="auto"/>
          <w:sz w:val="22"/>
          <w:szCs w:val="22"/>
        </w:rPr>
      </w:pPr>
      <w:r w:rsidRPr="0034140A">
        <w:rPr>
          <w:color w:val="auto"/>
          <w:sz w:val="22"/>
          <w:szCs w:val="22"/>
        </w:rPr>
        <w:t xml:space="preserve">The word </w:t>
      </w:r>
      <w:r w:rsidRPr="0034140A">
        <w:rPr>
          <w:i/>
          <w:iCs/>
          <w:color w:val="auto"/>
          <w:sz w:val="22"/>
          <w:szCs w:val="22"/>
        </w:rPr>
        <w:t xml:space="preserve">building </w:t>
      </w:r>
      <w:r w:rsidRPr="0034140A">
        <w:rPr>
          <w:color w:val="auto"/>
          <w:sz w:val="22"/>
          <w:szCs w:val="22"/>
        </w:rPr>
        <w:t xml:space="preserve">in this case includes virtual buildings such as virtual schools. For example, one physical building high school and one virtual high school would invalidate using the </w:t>
      </w:r>
      <w:r w:rsidRPr="0034140A">
        <w:rPr>
          <w:i/>
          <w:iCs/>
          <w:color w:val="auto"/>
          <w:sz w:val="22"/>
          <w:szCs w:val="22"/>
        </w:rPr>
        <w:t xml:space="preserve">Not Applicable </w:t>
      </w:r>
      <w:r w:rsidRPr="0034140A">
        <w:rPr>
          <w:color w:val="auto"/>
          <w:sz w:val="22"/>
          <w:szCs w:val="22"/>
        </w:rPr>
        <w:t>option.</w:t>
      </w:r>
    </w:p>
    <w:p w14:paraId="6D566648" w14:textId="77777777" w:rsidR="00BF23B4" w:rsidRPr="00462287" w:rsidRDefault="00BF23B4" w:rsidP="00BF2C93">
      <w:pPr>
        <w:contextualSpacing/>
        <w:rPr>
          <w:b/>
          <w:color w:val="000000"/>
          <w:sz w:val="22"/>
          <w:szCs w:val="22"/>
        </w:rPr>
      </w:pPr>
    </w:p>
    <w:p w14:paraId="269ED37D" w14:textId="77777777" w:rsidR="00BF23B4" w:rsidRPr="00462287" w:rsidRDefault="00BF23B4" w:rsidP="00BF2C93">
      <w:pPr>
        <w:contextualSpacing/>
        <w:rPr>
          <w:b/>
          <w:color w:val="000000"/>
          <w:sz w:val="22"/>
          <w:szCs w:val="22"/>
        </w:rPr>
      </w:pPr>
      <w:r w:rsidRPr="00462287">
        <w:rPr>
          <w:b/>
          <w:color w:val="000000"/>
          <w:sz w:val="22"/>
          <w:szCs w:val="22"/>
        </w:rPr>
        <w:t>Title I Comparability Compliance Procedures Every Student Succeeds Act, Section 1118(c)</w:t>
      </w:r>
    </w:p>
    <w:p w14:paraId="36243BA7" w14:textId="196894B8" w:rsidR="00BF23B4" w:rsidRPr="00462287" w:rsidRDefault="00BF23B4" w:rsidP="00BF2C93">
      <w:pPr>
        <w:contextualSpacing/>
        <w:rPr>
          <w:color w:val="000000"/>
          <w:sz w:val="22"/>
          <w:szCs w:val="22"/>
        </w:rPr>
      </w:pPr>
      <w:r w:rsidRPr="00462287">
        <w:rPr>
          <w:color w:val="000000"/>
          <w:sz w:val="22"/>
          <w:szCs w:val="22"/>
          <w:highlight w:val="yellow"/>
        </w:rPr>
        <w:t>LEA name</w:t>
      </w:r>
      <w:r w:rsidRPr="00462287">
        <w:rPr>
          <w:color w:val="000000"/>
          <w:sz w:val="22"/>
          <w:szCs w:val="22"/>
        </w:rPr>
        <w:t xml:space="preserve"> has developed the following written procedures to comply with the comparability of services requirement set forth in section 1118(c) of the Every Student Succeeds (ESSA) Act. The L</w:t>
      </w:r>
      <w:r w:rsidR="00A10886">
        <w:rPr>
          <w:color w:val="000000"/>
          <w:sz w:val="22"/>
          <w:szCs w:val="22"/>
        </w:rPr>
        <w:t>EA</w:t>
      </w:r>
      <w:r w:rsidRPr="00462287">
        <w:rPr>
          <w:color w:val="000000"/>
          <w:sz w:val="22"/>
          <w:szCs w:val="22"/>
        </w:rPr>
        <w:t xml:space="preserve"> will use state and local funds to provide services in Title I schools that are at least comparable to services provided in non-Title I schools. If the LEA serves all of its schools with Title I funds within a particular grade span, the LEA will use state and local funds to provide services that are substantially comparable in each school. The LEA will complete actual comparability calculations and submit the online comparability report annually to the Florida Department of Education (FDOE), Bureau of Federal Educational Programs by the date established.</w:t>
      </w:r>
    </w:p>
    <w:p w14:paraId="271135F5" w14:textId="77777777" w:rsidR="00BF23B4" w:rsidRPr="00462287" w:rsidRDefault="00BF23B4" w:rsidP="00BF2C93">
      <w:pPr>
        <w:contextualSpacing/>
        <w:rPr>
          <w:b/>
          <w:color w:val="000000"/>
          <w:sz w:val="22"/>
          <w:szCs w:val="22"/>
        </w:rPr>
      </w:pPr>
    </w:p>
    <w:p w14:paraId="5A4FCBFF" w14:textId="38D6F1F7" w:rsidR="00BF23B4" w:rsidRPr="00462287" w:rsidRDefault="00BF23B4" w:rsidP="00BF2C93">
      <w:pPr>
        <w:contextualSpacing/>
        <w:rPr>
          <w:b/>
          <w:color w:val="000000"/>
          <w:sz w:val="22"/>
          <w:szCs w:val="22"/>
        </w:rPr>
      </w:pPr>
      <w:r w:rsidRPr="00462287">
        <w:rPr>
          <w:b/>
          <w:color w:val="000000"/>
          <w:sz w:val="22"/>
          <w:szCs w:val="22"/>
        </w:rPr>
        <w:t xml:space="preserve">Timeline </w:t>
      </w:r>
      <w:r w:rsidR="004672E0">
        <w:rPr>
          <w:b/>
          <w:color w:val="000000"/>
          <w:sz w:val="22"/>
          <w:szCs w:val="22"/>
        </w:rPr>
        <w:t>U</w:t>
      </w:r>
      <w:r w:rsidRPr="00462287">
        <w:rPr>
          <w:b/>
          <w:color w:val="000000"/>
          <w:sz w:val="22"/>
          <w:szCs w:val="22"/>
        </w:rPr>
        <w:t xml:space="preserve">sed for </w:t>
      </w:r>
      <w:r w:rsidR="004672E0">
        <w:rPr>
          <w:b/>
          <w:color w:val="000000"/>
          <w:sz w:val="22"/>
          <w:szCs w:val="22"/>
        </w:rPr>
        <w:t>D</w:t>
      </w:r>
      <w:r w:rsidRPr="00462287">
        <w:rPr>
          <w:b/>
          <w:color w:val="000000"/>
          <w:sz w:val="22"/>
          <w:szCs w:val="22"/>
        </w:rPr>
        <w:t xml:space="preserve">emonstrating </w:t>
      </w:r>
      <w:r w:rsidR="004672E0">
        <w:rPr>
          <w:b/>
          <w:color w:val="000000"/>
          <w:sz w:val="22"/>
          <w:szCs w:val="22"/>
        </w:rPr>
        <w:t>C</w:t>
      </w:r>
      <w:r w:rsidR="005C02F9" w:rsidRPr="00462287">
        <w:rPr>
          <w:b/>
          <w:color w:val="000000"/>
          <w:sz w:val="22"/>
          <w:szCs w:val="22"/>
        </w:rPr>
        <w:t>omparability</w:t>
      </w:r>
    </w:p>
    <w:p w14:paraId="0974A502" w14:textId="0AAFEB1D" w:rsidR="00BF23B4" w:rsidRPr="00462287" w:rsidRDefault="00BF23B4" w:rsidP="00BF2C93">
      <w:pPr>
        <w:autoSpaceDE w:val="0"/>
        <w:autoSpaceDN w:val="0"/>
        <w:adjustRightInd w:val="0"/>
        <w:contextualSpacing/>
        <w:rPr>
          <w:sz w:val="22"/>
          <w:szCs w:val="22"/>
        </w:rPr>
      </w:pPr>
      <w:r w:rsidRPr="00462287">
        <w:rPr>
          <w:color w:val="000000"/>
          <w:sz w:val="22"/>
          <w:szCs w:val="22"/>
          <w:highlight w:val="yellow"/>
        </w:rPr>
        <w:t>LEA name</w:t>
      </w:r>
      <w:r w:rsidRPr="00462287">
        <w:rPr>
          <w:color w:val="000000"/>
          <w:sz w:val="22"/>
          <w:szCs w:val="22"/>
        </w:rPr>
        <w:t xml:space="preserve"> provides c</w:t>
      </w:r>
      <w:r w:rsidRPr="00462287">
        <w:rPr>
          <w:sz w:val="22"/>
          <w:szCs w:val="22"/>
        </w:rPr>
        <w:t>omparability determinations on an annual basis</w:t>
      </w:r>
      <w:r w:rsidR="00462287" w:rsidRPr="00462287">
        <w:rPr>
          <w:sz w:val="22"/>
          <w:szCs w:val="22"/>
        </w:rPr>
        <w:t xml:space="preserve"> to ensure exemption status has not changed.</w:t>
      </w:r>
      <w:r w:rsidRPr="00462287">
        <w:rPr>
          <w:sz w:val="22"/>
          <w:szCs w:val="22"/>
        </w:rPr>
        <w:t xml:space="preserve"> </w:t>
      </w:r>
    </w:p>
    <w:p w14:paraId="7D037A4A" w14:textId="77777777" w:rsidR="00BF23B4" w:rsidRPr="00462287" w:rsidRDefault="00BF23B4" w:rsidP="00BF2C93">
      <w:pPr>
        <w:autoSpaceDE w:val="0"/>
        <w:autoSpaceDN w:val="0"/>
        <w:adjustRightInd w:val="0"/>
        <w:contextualSpacing/>
        <w:rPr>
          <w:b/>
          <w:bCs/>
          <w:sz w:val="22"/>
          <w:szCs w:val="22"/>
        </w:rPr>
      </w:pPr>
    </w:p>
    <w:p w14:paraId="09775C21" w14:textId="77777777" w:rsidR="00BF23B4" w:rsidRPr="00462287" w:rsidRDefault="00BF23B4" w:rsidP="00BF2C93">
      <w:pPr>
        <w:autoSpaceDE w:val="0"/>
        <w:autoSpaceDN w:val="0"/>
        <w:adjustRightInd w:val="0"/>
        <w:contextualSpacing/>
        <w:rPr>
          <w:b/>
          <w:bCs/>
          <w:sz w:val="22"/>
          <w:szCs w:val="22"/>
        </w:rPr>
      </w:pPr>
      <w:r w:rsidRPr="00462287">
        <w:rPr>
          <w:b/>
          <w:bCs/>
          <w:sz w:val="22"/>
          <w:szCs w:val="22"/>
        </w:rPr>
        <w:t>August – September</w:t>
      </w:r>
    </w:p>
    <w:p w14:paraId="43160494" w14:textId="29CF514E" w:rsidR="00BF23B4" w:rsidRPr="00F031EA" w:rsidRDefault="00BF23B4" w:rsidP="00BF2C93">
      <w:pPr>
        <w:pStyle w:val="ListParagraph"/>
        <w:numPr>
          <w:ilvl w:val="0"/>
          <w:numId w:val="4"/>
        </w:numPr>
        <w:autoSpaceDE w:val="0"/>
        <w:autoSpaceDN w:val="0"/>
        <w:adjustRightInd w:val="0"/>
        <w:rPr>
          <w:sz w:val="22"/>
          <w:szCs w:val="22"/>
        </w:rPr>
      </w:pPr>
      <w:r w:rsidRPr="00F031EA">
        <w:rPr>
          <w:sz w:val="22"/>
          <w:szCs w:val="22"/>
        </w:rPr>
        <w:t>Obtain preliminary information from appropriate LEA staff.</w:t>
      </w:r>
    </w:p>
    <w:p w14:paraId="1086F91E" w14:textId="11132784" w:rsidR="00BF23B4" w:rsidRPr="00F031EA" w:rsidRDefault="00BF23B4" w:rsidP="00BF2C93">
      <w:pPr>
        <w:pStyle w:val="ListParagraph"/>
        <w:numPr>
          <w:ilvl w:val="0"/>
          <w:numId w:val="4"/>
        </w:numPr>
        <w:autoSpaceDE w:val="0"/>
        <w:autoSpaceDN w:val="0"/>
        <w:adjustRightInd w:val="0"/>
        <w:rPr>
          <w:sz w:val="22"/>
          <w:szCs w:val="22"/>
        </w:rPr>
      </w:pPr>
      <w:r w:rsidRPr="00F031EA">
        <w:rPr>
          <w:sz w:val="22"/>
          <w:szCs w:val="22"/>
        </w:rPr>
        <w:t>Identify date and collection methodologies for gathering data needed to complete</w:t>
      </w:r>
      <w:r w:rsidR="00FB6485" w:rsidRPr="00F031EA">
        <w:rPr>
          <w:sz w:val="22"/>
          <w:szCs w:val="22"/>
        </w:rPr>
        <w:t xml:space="preserve"> </w:t>
      </w:r>
      <w:r w:rsidRPr="00F031EA">
        <w:rPr>
          <w:sz w:val="22"/>
          <w:szCs w:val="22"/>
        </w:rPr>
        <w:t>calculations.</w:t>
      </w:r>
    </w:p>
    <w:p w14:paraId="64AEBE62" w14:textId="5AE27ACA" w:rsidR="00BF23B4" w:rsidRPr="00F031EA" w:rsidRDefault="00BF23B4" w:rsidP="00BF2C93">
      <w:pPr>
        <w:pStyle w:val="ListParagraph"/>
        <w:numPr>
          <w:ilvl w:val="0"/>
          <w:numId w:val="4"/>
        </w:numPr>
        <w:autoSpaceDE w:val="0"/>
        <w:autoSpaceDN w:val="0"/>
        <w:adjustRightInd w:val="0"/>
        <w:rPr>
          <w:sz w:val="22"/>
          <w:szCs w:val="22"/>
        </w:rPr>
      </w:pPr>
      <w:r w:rsidRPr="00F031EA">
        <w:rPr>
          <w:sz w:val="22"/>
          <w:szCs w:val="22"/>
        </w:rPr>
        <w:t>Identify Title I schools and non-Title I schools (including charter schools, virtual schools, and special</w:t>
      </w:r>
      <w:r w:rsidR="00FB6485" w:rsidRPr="00F031EA">
        <w:rPr>
          <w:sz w:val="22"/>
          <w:szCs w:val="22"/>
        </w:rPr>
        <w:t xml:space="preserve"> </w:t>
      </w:r>
      <w:r w:rsidRPr="00F031EA">
        <w:rPr>
          <w:sz w:val="22"/>
          <w:szCs w:val="22"/>
        </w:rPr>
        <w:t>centers).</w:t>
      </w:r>
    </w:p>
    <w:p w14:paraId="1ECA9044" w14:textId="77777777" w:rsidR="00BF23B4" w:rsidRPr="00462287" w:rsidRDefault="00BF23B4" w:rsidP="00BF2C93">
      <w:pPr>
        <w:autoSpaceDE w:val="0"/>
        <w:autoSpaceDN w:val="0"/>
        <w:adjustRightInd w:val="0"/>
        <w:contextualSpacing/>
        <w:rPr>
          <w:rFonts w:eastAsia="SymbolMT"/>
          <w:sz w:val="22"/>
          <w:szCs w:val="22"/>
        </w:rPr>
      </w:pPr>
    </w:p>
    <w:p w14:paraId="5C0D524C" w14:textId="77777777" w:rsidR="00BF23B4" w:rsidRPr="00462287" w:rsidRDefault="00BF23B4" w:rsidP="00BF2C93">
      <w:pPr>
        <w:autoSpaceDE w:val="0"/>
        <w:autoSpaceDN w:val="0"/>
        <w:adjustRightInd w:val="0"/>
        <w:contextualSpacing/>
        <w:rPr>
          <w:b/>
          <w:bCs/>
          <w:sz w:val="22"/>
          <w:szCs w:val="22"/>
        </w:rPr>
      </w:pPr>
      <w:r w:rsidRPr="00462287">
        <w:rPr>
          <w:b/>
          <w:bCs/>
          <w:sz w:val="22"/>
          <w:szCs w:val="22"/>
        </w:rPr>
        <w:t>October</w:t>
      </w:r>
    </w:p>
    <w:p w14:paraId="5A9CC309" w14:textId="01239222" w:rsidR="00BF23B4" w:rsidRPr="00F031EA" w:rsidRDefault="00BF23B4" w:rsidP="00BF2C93">
      <w:pPr>
        <w:pStyle w:val="ListParagraph"/>
        <w:numPr>
          <w:ilvl w:val="0"/>
          <w:numId w:val="4"/>
        </w:numPr>
        <w:autoSpaceDE w:val="0"/>
        <w:autoSpaceDN w:val="0"/>
        <w:adjustRightInd w:val="0"/>
        <w:rPr>
          <w:sz w:val="22"/>
          <w:szCs w:val="22"/>
        </w:rPr>
      </w:pPr>
      <w:r w:rsidRPr="00F031EA">
        <w:rPr>
          <w:sz w:val="22"/>
          <w:szCs w:val="22"/>
        </w:rPr>
        <w:t>Conduct meetings with appropriate LEA representatives to discuss the requirements for</w:t>
      </w:r>
      <w:r w:rsidR="00FB6485" w:rsidRPr="00F031EA">
        <w:rPr>
          <w:sz w:val="22"/>
          <w:szCs w:val="22"/>
        </w:rPr>
        <w:t xml:space="preserve"> </w:t>
      </w:r>
      <w:r w:rsidRPr="00F031EA">
        <w:rPr>
          <w:sz w:val="22"/>
          <w:szCs w:val="22"/>
        </w:rPr>
        <w:t>completing the annual comparability calculations.</w:t>
      </w:r>
    </w:p>
    <w:p w14:paraId="4AF32203" w14:textId="584F5D01" w:rsidR="00BF23B4" w:rsidRPr="00F031EA" w:rsidRDefault="00BF23B4" w:rsidP="00BF2C93">
      <w:pPr>
        <w:pStyle w:val="ListParagraph"/>
        <w:numPr>
          <w:ilvl w:val="0"/>
          <w:numId w:val="4"/>
        </w:numPr>
        <w:autoSpaceDE w:val="0"/>
        <w:autoSpaceDN w:val="0"/>
        <w:adjustRightInd w:val="0"/>
        <w:rPr>
          <w:sz w:val="22"/>
          <w:szCs w:val="22"/>
        </w:rPr>
      </w:pPr>
      <w:r w:rsidRPr="00F031EA">
        <w:rPr>
          <w:sz w:val="22"/>
          <w:szCs w:val="22"/>
        </w:rPr>
        <w:t>Collect data (same date certain for both student enrollment and Staff FTE data).</w:t>
      </w:r>
    </w:p>
    <w:p w14:paraId="71D82EB0" w14:textId="77777777" w:rsidR="00462287" w:rsidRPr="00462287" w:rsidRDefault="00462287" w:rsidP="00BF2C93">
      <w:pPr>
        <w:autoSpaceDE w:val="0"/>
        <w:autoSpaceDN w:val="0"/>
        <w:adjustRightInd w:val="0"/>
        <w:contextualSpacing/>
        <w:rPr>
          <w:b/>
          <w:bCs/>
          <w:sz w:val="22"/>
          <w:szCs w:val="22"/>
        </w:rPr>
      </w:pPr>
    </w:p>
    <w:p w14:paraId="1DC01BFB" w14:textId="68A3E013" w:rsidR="00BF23B4" w:rsidRPr="00462287" w:rsidRDefault="00BF23B4" w:rsidP="00BF2C93">
      <w:pPr>
        <w:autoSpaceDE w:val="0"/>
        <w:autoSpaceDN w:val="0"/>
        <w:adjustRightInd w:val="0"/>
        <w:contextualSpacing/>
        <w:rPr>
          <w:b/>
          <w:bCs/>
          <w:sz w:val="22"/>
          <w:szCs w:val="22"/>
        </w:rPr>
      </w:pPr>
      <w:r w:rsidRPr="00462287">
        <w:rPr>
          <w:b/>
          <w:bCs/>
          <w:sz w:val="22"/>
          <w:szCs w:val="22"/>
        </w:rPr>
        <w:t>November</w:t>
      </w:r>
    </w:p>
    <w:p w14:paraId="624BF430" w14:textId="00A48917" w:rsidR="00462287" w:rsidRPr="00F031EA" w:rsidRDefault="00BF23B4" w:rsidP="00BF2C93">
      <w:pPr>
        <w:pStyle w:val="ListParagraph"/>
        <w:numPr>
          <w:ilvl w:val="0"/>
          <w:numId w:val="4"/>
        </w:numPr>
        <w:autoSpaceDE w:val="0"/>
        <w:autoSpaceDN w:val="0"/>
        <w:adjustRightInd w:val="0"/>
        <w:rPr>
          <w:sz w:val="22"/>
          <w:szCs w:val="22"/>
        </w:rPr>
      </w:pPr>
      <w:r w:rsidRPr="00F031EA">
        <w:rPr>
          <w:sz w:val="22"/>
          <w:szCs w:val="22"/>
        </w:rPr>
        <w:t>Meet with appropriate staff and calculate comparability.</w:t>
      </w:r>
    </w:p>
    <w:p w14:paraId="6E3E403A" w14:textId="58A49129" w:rsidR="00BF23B4" w:rsidRPr="00F031EA" w:rsidRDefault="00BF23B4" w:rsidP="00BF2C93">
      <w:pPr>
        <w:pStyle w:val="ListParagraph"/>
        <w:numPr>
          <w:ilvl w:val="0"/>
          <w:numId w:val="4"/>
        </w:numPr>
        <w:autoSpaceDE w:val="0"/>
        <w:autoSpaceDN w:val="0"/>
        <w:adjustRightInd w:val="0"/>
        <w:rPr>
          <w:sz w:val="22"/>
          <w:szCs w:val="22"/>
        </w:rPr>
      </w:pPr>
      <w:r w:rsidRPr="00F031EA">
        <w:rPr>
          <w:sz w:val="22"/>
          <w:szCs w:val="22"/>
        </w:rPr>
        <w:t>Reconvene appropriate LEA staff to address any outstanding issues.</w:t>
      </w:r>
    </w:p>
    <w:p w14:paraId="129EC453" w14:textId="77777777" w:rsidR="00FB6485" w:rsidRDefault="00FB6485" w:rsidP="00BF2C93">
      <w:pPr>
        <w:autoSpaceDE w:val="0"/>
        <w:autoSpaceDN w:val="0"/>
        <w:adjustRightInd w:val="0"/>
        <w:contextualSpacing/>
        <w:rPr>
          <w:b/>
          <w:bCs/>
          <w:sz w:val="22"/>
          <w:szCs w:val="22"/>
        </w:rPr>
      </w:pPr>
    </w:p>
    <w:p w14:paraId="4F3ED7A3" w14:textId="77777777" w:rsidR="00F031EA" w:rsidRDefault="00F031EA" w:rsidP="00BF2C93">
      <w:pPr>
        <w:spacing w:after="160"/>
        <w:contextualSpacing/>
        <w:rPr>
          <w:b/>
          <w:bCs/>
          <w:sz w:val="22"/>
          <w:szCs w:val="22"/>
        </w:rPr>
      </w:pPr>
      <w:r>
        <w:rPr>
          <w:b/>
          <w:bCs/>
          <w:sz w:val="22"/>
          <w:szCs w:val="22"/>
        </w:rPr>
        <w:br w:type="page"/>
      </w:r>
    </w:p>
    <w:p w14:paraId="6DB132AC" w14:textId="09A30D38" w:rsidR="00BF23B4" w:rsidRPr="00462287" w:rsidRDefault="00BF23B4" w:rsidP="00BF2C93">
      <w:pPr>
        <w:autoSpaceDE w:val="0"/>
        <w:autoSpaceDN w:val="0"/>
        <w:adjustRightInd w:val="0"/>
        <w:contextualSpacing/>
        <w:rPr>
          <w:b/>
          <w:bCs/>
          <w:sz w:val="22"/>
          <w:szCs w:val="22"/>
        </w:rPr>
      </w:pPr>
      <w:r w:rsidRPr="00462287">
        <w:rPr>
          <w:b/>
          <w:bCs/>
          <w:sz w:val="22"/>
          <w:szCs w:val="22"/>
        </w:rPr>
        <w:lastRenderedPageBreak/>
        <w:t>December</w:t>
      </w:r>
    </w:p>
    <w:p w14:paraId="62FD31CA" w14:textId="2426ABA0" w:rsidR="00BF23B4" w:rsidRPr="00F031EA" w:rsidRDefault="005E6955" w:rsidP="00BF2C93">
      <w:pPr>
        <w:pStyle w:val="ListParagraph"/>
        <w:numPr>
          <w:ilvl w:val="0"/>
          <w:numId w:val="4"/>
        </w:numPr>
        <w:autoSpaceDE w:val="0"/>
        <w:autoSpaceDN w:val="0"/>
        <w:adjustRightInd w:val="0"/>
        <w:rPr>
          <w:sz w:val="22"/>
          <w:szCs w:val="22"/>
        </w:rPr>
      </w:pPr>
      <w:r>
        <w:rPr>
          <w:sz w:val="22"/>
          <w:szCs w:val="22"/>
        </w:rPr>
        <w:t>Submit</w:t>
      </w:r>
      <w:r w:rsidRPr="004A690E">
        <w:rPr>
          <w:sz w:val="22"/>
          <w:szCs w:val="22"/>
        </w:rPr>
        <w:t>,</w:t>
      </w:r>
      <w:r>
        <w:rPr>
          <w:sz w:val="22"/>
          <w:szCs w:val="22"/>
        </w:rPr>
        <w:t xml:space="preserve"> to TIPA@fldoe.org</w:t>
      </w:r>
      <w:r w:rsidR="00BF23B4" w:rsidRPr="00F031EA">
        <w:rPr>
          <w:sz w:val="22"/>
          <w:szCs w:val="22"/>
        </w:rPr>
        <w:t>, the</w:t>
      </w:r>
      <w:r w:rsidR="00FB6485" w:rsidRPr="00F031EA">
        <w:rPr>
          <w:sz w:val="22"/>
          <w:szCs w:val="22"/>
        </w:rPr>
        <w:t xml:space="preserve"> </w:t>
      </w:r>
      <w:r w:rsidR="00BF23B4" w:rsidRPr="00F031EA">
        <w:rPr>
          <w:sz w:val="22"/>
          <w:szCs w:val="22"/>
        </w:rPr>
        <w:t>comparability attestation form, written procedures, calculations, and, if applicable, an</w:t>
      </w:r>
      <w:r w:rsidR="00FB6485" w:rsidRPr="00F031EA">
        <w:rPr>
          <w:sz w:val="22"/>
          <w:szCs w:val="22"/>
        </w:rPr>
        <w:t xml:space="preserve"> </w:t>
      </w:r>
      <w:r w:rsidR="00BF23B4" w:rsidRPr="00F031EA">
        <w:rPr>
          <w:sz w:val="22"/>
          <w:szCs w:val="22"/>
        </w:rPr>
        <w:t>action plan on or before the due date as stipulated by the FDOE.</w:t>
      </w:r>
    </w:p>
    <w:p w14:paraId="19B8E5B0" w14:textId="3D45D4FD" w:rsidR="00BF23B4" w:rsidRPr="00F031EA" w:rsidRDefault="00BF23B4" w:rsidP="00BF2C93">
      <w:pPr>
        <w:pStyle w:val="ListParagraph"/>
        <w:numPr>
          <w:ilvl w:val="0"/>
          <w:numId w:val="4"/>
        </w:numPr>
        <w:autoSpaceDE w:val="0"/>
        <w:autoSpaceDN w:val="0"/>
        <w:adjustRightInd w:val="0"/>
        <w:rPr>
          <w:sz w:val="22"/>
          <w:szCs w:val="22"/>
        </w:rPr>
      </w:pPr>
      <w:r w:rsidRPr="00F031EA">
        <w:rPr>
          <w:sz w:val="22"/>
          <w:szCs w:val="22"/>
        </w:rPr>
        <w:t>File an official copy of the completed comparability report and related documents with</w:t>
      </w:r>
      <w:r w:rsidR="00FB6485" w:rsidRPr="00F031EA">
        <w:rPr>
          <w:sz w:val="22"/>
          <w:szCs w:val="22"/>
        </w:rPr>
        <w:t xml:space="preserve"> </w:t>
      </w:r>
      <w:r w:rsidRPr="00F031EA">
        <w:rPr>
          <w:sz w:val="22"/>
          <w:szCs w:val="22"/>
        </w:rPr>
        <w:t>the designated district office for audit purposes.</w:t>
      </w:r>
    </w:p>
    <w:p w14:paraId="65503FC4" w14:textId="77777777" w:rsidR="00BF23B4" w:rsidRPr="00462287" w:rsidRDefault="00BF23B4" w:rsidP="00BF2C93">
      <w:pPr>
        <w:autoSpaceDE w:val="0"/>
        <w:autoSpaceDN w:val="0"/>
        <w:adjustRightInd w:val="0"/>
        <w:contextualSpacing/>
        <w:rPr>
          <w:rFonts w:eastAsia="SymbolMT"/>
          <w:sz w:val="22"/>
          <w:szCs w:val="22"/>
        </w:rPr>
      </w:pPr>
    </w:p>
    <w:p w14:paraId="52AB3032" w14:textId="77777777" w:rsidR="00BF23B4" w:rsidRPr="00462287" w:rsidRDefault="00BF23B4" w:rsidP="00BF2C93">
      <w:pPr>
        <w:autoSpaceDE w:val="0"/>
        <w:autoSpaceDN w:val="0"/>
        <w:adjustRightInd w:val="0"/>
        <w:contextualSpacing/>
        <w:rPr>
          <w:b/>
          <w:bCs/>
          <w:sz w:val="22"/>
          <w:szCs w:val="22"/>
        </w:rPr>
      </w:pPr>
      <w:r w:rsidRPr="00462287">
        <w:rPr>
          <w:b/>
          <w:bCs/>
          <w:sz w:val="22"/>
          <w:szCs w:val="22"/>
        </w:rPr>
        <w:t>January – April</w:t>
      </w:r>
    </w:p>
    <w:p w14:paraId="1513F51A" w14:textId="0D4BF862" w:rsidR="00BF23B4" w:rsidRPr="00F031EA" w:rsidRDefault="005E6955" w:rsidP="00BF2C93">
      <w:pPr>
        <w:pStyle w:val="ListParagraph"/>
        <w:numPr>
          <w:ilvl w:val="0"/>
          <w:numId w:val="4"/>
        </w:numPr>
        <w:autoSpaceDE w:val="0"/>
        <w:autoSpaceDN w:val="0"/>
        <w:adjustRightInd w:val="0"/>
        <w:rPr>
          <w:sz w:val="22"/>
          <w:szCs w:val="22"/>
        </w:rPr>
      </w:pPr>
      <w:r>
        <w:rPr>
          <w:sz w:val="22"/>
          <w:szCs w:val="22"/>
        </w:rPr>
        <w:t>Submit</w:t>
      </w:r>
      <w:r w:rsidRPr="004A690E">
        <w:rPr>
          <w:sz w:val="22"/>
          <w:szCs w:val="22"/>
        </w:rPr>
        <w:t>,</w:t>
      </w:r>
      <w:r>
        <w:rPr>
          <w:sz w:val="22"/>
          <w:szCs w:val="22"/>
        </w:rPr>
        <w:t xml:space="preserve"> to TIPA@fldoe.org,</w:t>
      </w:r>
      <w:r w:rsidR="00BF23B4" w:rsidRPr="00F031EA">
        <w:rPr>
          <w:sz w:val="22"/>
          <w:szCs w:val="22"/>
        </w:rPr>
        <w:t xml:space="preserve"> if applicable, documentation supporting</w:t>
      </w:r>
      <w:r w:rsidR="00462287" w:rsidRPr="00F031EA">
        <w:rPr>
          <w:sz w:val="22"/>
          <w:szCs w:val="22"/>
        </w:rPr>
        <w:t xml:space="preserve"> </w:t>
      </w:r>
      <w:r w:rsidR="00BF23B4" w:rsidRPr="00F031EA">
        <w:rPr>
          <w:sz w:val="22"/>
          <w:szCs w:val="22"/>
        </w:rPr>
        <w:t>any corrective action made to non-comparable schools to the S</w:t>
      </w:r>
      <w:r>
        <w:rPr>
          <w:sz w:val="22"/>
          <w:szCs w:val="22"/>
        </w:rPr>
        <w:t xml:space="preserve">tate </w:t>
      </w:r>
      <w:r w:rsidR="00BF23B4" w:rsidRPr="00F031EA">
        <w:rPr>
          <w:sz w:val="22"/>
          <w:szCs w:val="22"/>
        </w:rPr>
        <w:t>E</w:t>
      </w:r>
      <w:r>
        <w:rPr>
          <w:sz w:val="22"/>
          <w:szCs w:val="22"/>
        </w:rPr>
        <w:t xml:space="preserve">ducational </w:t>
      </w:r>
      <w:r w:rsidR="00BF23B4" w:rsidRPr="00F031EA">
        <w:rPr>
          <w:sz w:val="22"/>
          <w:szCs w:val="22"/>
        </w:rPr>
        <w:t>A</w:t>
      </w:r>
      <w:r>
        <w:rPr>
          <w:sz w:val="22"/>
          <w:szCs w:val="22"/>
        </w:rPr>
        <w:t>gency (SEA)</w:t>
      </w:r>
      <w:r w:rsidR="00BF23B4" w:rsidRPr="00F031EA">
        <w:rPr>
          <w:sz w:val="22"/>
          <w:szCs w:val="22"/>
        </w:rPr>
        <w:t xml:space="preserve"> in support of an Action</w:t>
      </w:r>
    </w:p>
    <w:p w14:paraId="39AEA65C" w14:textId="77777777" w:rsidR="00BF23B4" w:rsidRPr="00F031EA" w:rsidRDefault="00BF23B4" w:rsidP="00BF2C93">
      <w:pPr>
        <w:pStyle w:val="ListParagraph"/>
        <w:numPr>
          <w:ilvl w:val="0"/>
          <w:numId w:val="7"/>
        </w:numPr>
        <w:autoSpaceDE w:val="0"/>
        <w:autoSpaceDN w:val="0"/>
        <w:adjustRightInd w:val="0"/>
        <w:rPr>
          <w:sz w:val="22"/>
          <w:szCs w:val="22"/>
        </w:rPr>
      </w:pPr>
      <w:r w:rsidRPr="00F031EA">
        <w:rPr>
          <w:sz w:val="22"/>
          <w:szCs w:val="22"/>
        </w:rPr>
        <w:t>Plan submitted prior to the close of the comparability reporting period.</w:t>
      </w:r>
    </w:p>
    <w:p w14:paraId="6FD69EF1" w14:textId="64E4493A" w:rsidR="00BF23B4" w:rsidRPr="00F031EA" w:rsidRDefault="00BF23B4" w:rsidP="00BF2C93">
      <w:pPr>
        <w:pStyle w:val="ListParagraph"/>
        <w:numPr>
          <w:ilvl w:val="0"/>
          <w:numId w:val="7"/>
        </w:numPr>
        <w:autoSpaceDE w:val="0"/>
        <w:autoSpaceDN w:val="0"/>
        <w:adjustRightInd w:val="0"/>
        <w:rPr>
          <w:sz w:val="22"/>
          <w:szCs w:val="22"/>
        </w:rPr>
      </w:pPr>
      <w:r w:rsidRPr="00F031EA">
        <w:rPr>
          <w:sz w:val="22"/>
          <w:szCs w:val="22"/>
        </w:rPr>
        <w:t>Engage in LEA-level budget (state and local funds) discussions concerning staff</w:t>
      </w:r>
      <w:r w:rsidR="00FB6485" w:rsidRPr="00F031EA">
        <w:rPr>
          <w:sz w:val="22"/>
          <w:szCs w:val="22"/>
        </w:rPr>
        <w:t xml:space="preserve"> </w:t>
      </w:r>
      <w:r w:rsidRPr="00F031EA">
        <w:rPr>
          <w:sz w:val="22"/>
          <w:szCs w:val="22"/>
        </w:rPr>
        <w:t xml:space="preserve">assignments for the purpose of ensuring compliance with Title I </w:t>
      </w:r>
      <w:r w:rsidR="00FB6485" w:rsidRPr="00F031EA">
        <w:rPr>
          <w:sz w:val="22"/>
          <w:szCs w:val="22"/>
        </w:rPr>
        <w:t xml:space="preserve">comparability </w:t>
      </w:r>
      <w:r w:rsidRPr="00F031EA">
        <w:rPr>
          <w:sz w:val="22"/>
          <w:szCs w:val="22"/>
        </w:rPr>
        <w:t>requirements for the upcoming school year.</w:t>
      </w:r>
    </w:p>
    <w:p w14:paraId="179C7392" w14:textId="77777777" w:rsidR="00BF23B4" w:rsidRPr="00462287" w:rsidRDefault="00BF23B4" w:rsidP="00BF2C93">
      <w:pPr>
        <w:autoSpaceDE w:val="0"/>
        <w:autoSpaceDN w:val="0"/>
        <w:adjustRightInd w:val="0"/>
        <w:contextualSpacing/>
        <w:rPr>
          <w:rFonts w:eastAsia="SymbolMT"/>
          <w:sz w:val="22"/>
          <w:szCs w:val="22"/>
        </w:rPr>
      </w:pPr>
    </w:p>
    <w:p w14:paraId="680A70CB" w14:textId="77777777" w:rsidR="00BF23B4" w:rsidRPr="00462287" w:rsidRDefault="00BF23B4" w:rsidP="00BF2C93">
      <w:pPr>
        <w:autoSpaceDE w:val="0"/>
        <w:autoSpaceDN w:val="0"/>
        <w:adjustRightInd w:val="0"/>
        <w:contextualSpacing/>
        <w:rPr>
          <w:b/>
          <w:bCs/>
          <w:sz w:val="22"/>
          <w:szCs w:val="22"/>
        </w:rPr>
      </w:pPr>
      <w:r w:rsidRPr="00462287">
        <w:rPr>
          <w:b/>
          <w:bCs/>
          <w:sz w:val="22"/>
          <w:szCs w:val="22"/>
        </w:rPr>
        <w:t>May – July</w:t>
      </w:r>
    </w:p>
    <w:p w14:paraId="739603E5" w14:textId="13EA5B71" w:rsidR="00BF23B4" w:rsidRPr="00F031EA" w:rsidRDefault="00BF23B4" w:rsidP="00BF2C93">
      <w:pPr>
        <w:pStyle w:val="ListParagraph"/>
        <w:numPr>
          <w:ilvl w:val="0"/>
          <w:numId w:val="4"/>
        </w:numPr>
        <w:autoSpaceDE w:val="0"/>
        <w:autoSpaceDN w:val="0"/>
        <w:adjustRightInd w:val="0"/>
        <w:rPr>
          <w:sz w:val="22"/>
          <w:szCs w:val="22"/>
        </w:rPr>
      </w:pPr>
      <w:r w:rsidRPr="00F031EA">
        <w:rPr>
          <w:sz w:val="22"/>
          <w:szCs w:val="22"/>
        </w:rPr>
        <w:t>Update LEA comparability procedures document.</w:t>
      </w:r>
    </w:p>
    <w:p w14:paraId="3C551ED7" w14:textId="693C7EC6" w:rsidR="00BF23B4" w:rsidRPr="00F031EA" w:rsidRDefault="00BF23B4" w:rsidP="00BF2C93">
      <w:pPr>
        <w:pStyle w:val="ListParagraph"/>
        <w:numPr>
          <w:ilvl w:val="0"/>
          <w:numId w:val="4"/>
        </w:numPr>
        <w:autoSpaceDE w:val="0"/>
        <w:autoSpaceDN w:val="0"/>
        <w:adjustRightInd w:val="0"/>
        <w:rPr>
          <w:sz w:val="22"/>
          <w:szCs w:val="22"/>
        </w:rPr>
      </w:pPr>
      <w:r w:rsidRPr="00F031EA">
        <w:rPr>
          <w:sz w:val="22"/>
          <w:szCs w:val="22"/>
        </w:rPr>
        <w:t>Establish specific timelines and points of responsibility for completion of comparability</w:t>
      </w:r>
      <w:r w:rsidR="00FB6485" w:rsidRPr="00F031EA">
        <w:rPr>
          <w:sz w:val="22"/>
          <w:szCs w:val="22"/>
        </w:rPr>
        <w:t xml:space="preserve"> </w:t>
      </w:r>
      <w:r w:rsidRPr="00F031EA">
        <w:rPr>
          <w:sz w:val="22"/>
          <w:szCs w:val="22"/>
        </w:rPr>
        <w:t>calculations.</w:t>
      </w:r>
    </w:p>
    <w:p w14:paraId="288CEE21" w14:textId="77777777" w:rsidR="00BF23B4" w:rsidRPr="00462287" w:rsidRDefault="00BF23B4" w:rsidP="00BF2C93">
      <w:pPr>
        <w:autoSpaceDE w:val="0"/>
        <w:autoSpaceDN w:val="0"/>
        <w:adjustRightInd w:val="0"/>
        <w:contextualSpacing/>
        <w:rPr>
          <w:sz w:val="22"/>
          <w:szCs w:val="22"/>
        </w:rPr>
      </w:pPr>
    </w:p>
    <w:p w14:paraId="41984187" w14:textId="698719BB" w:rsidR="00BF23B4" w:rsidRPr="00462287" w:rsidRDefault="004672E0" w:rsidP="00BF2C93">
      <w:pPr>
        <w:contextualSpacing/>
        <w:rPr>
          <w:b/>
          <w:color w:val="000000"/>
          <w:sz w:val="22"/>
          <w:szCs w:val="22"/>
        </w:rPr>
      </w:pPr>
      <w:r>
        <w:rPr>
          <w:b/>
          <w:color w:val="000000"/>
          <w:sz w:val="22"/>
          <w:szCs w:val="22"/>
        </w:rPr>
        <w:t>Certification of Comparability</w:t>
      </w:r>
    </w:p>
    <w:p w14:paraId="0916B435" w14:textId="77777777" w:rsidR="00BF23B4" w:rsidRPr="00462287" w:rsidRDefault="00BF23B4" w:rsidP="00BF2C93">
      <w:pPr>
        <w:contextualSpacing/>
        <w:rPr>
          <w:color w:val="000000"/>
          <w:spacing w:val="-8"/>
          <w:sz w:val="22"/>
          <w:szCs w:val="22"/>
        </w:rPr>
      </w:pPr>
      <w:r w:rsidRPr="00462287">
        <w:rPr>
          <w:color w:val="000000"/>
          <w:sz w:val="22"/>
          <w:szCs w:val="22"/>
        </w:rPr>
        <w:t xml:space="preserve">The person responsible for determining the comparability exemption for </w:t>
      </w:r>
      <w:r w:rsidRPr="00462287">
        <w:rPr>
          <w:color w:val="000000"/>
          <w:sz w:val="22"/>
          <w:szCs w:val="22"/>
          <w:highlight w:val="yellow"/>
        </w:rPr>
        <w:t>LEA name</w:t>
      </w:r>
      <w:r w:rsidRPr="00462287">
        <w:rPr>
          <w:color w:val="000000"/>
          <w:sz w:val="22"/>
          <w:szCs w:val="22"/>
        </w:rPr>
        <w:t xml:space="preserve"> will be the </w:t>
      </w:r>
      <w:r w:rsidRPr="00462287">
        <w:rPr>
          <w:color w:val="000000"/>
          <w:sz w:val="22"/>
          <w:szCs w:val="22"/>
          <w:highlight w:val="yellow"/>
        </w:rPr>
        <w:t>LEA position title</w:t>
      </w:r>
      <w:r w:rsidRPr="00462287">
        <w:rPr>
          <w:color w:val="000000"/>
          <w:sz w:val="22"/>
          <w:szCs w:val="22"/>
        </w:rPr>
        <w:t xml:space="preserve">, as applicable. </w:t>
      </w:r>
      <w:r w:rsidRPr="00462287">
        <w:rPr>
          <w:sz w:val="22"/>
          <w:szCs w:val="22"/>
        </w:rPr>
        <w:t xml:space="preserve">This certifying official is an LEA administrator whose salary is not paid wholly, or in part, </w:t>
      </w:r>
      <w:r w:rsidRPr="00462287">
        <w:rPr>
          <w:spacing w:val="-8"/>
          <w:sz w:val="22"/>
          <w:szCs w:val="22"/>
        </w:rPr>
        <w:t>by Title Ⅰ.</w:t>
      </w:r>
    </w:p>
    <w:p w14:paraId="470C18C4" w14:textId="77777777" w:rsidR="00BF23B4" w:rsidRPr="00462287" w:rsidRDefault="00BF23B4" w:rsidP="00BF2C93">
      <w:pPr>
        <w:contextualSpacing/>
        <w:rPr>
          <w:b/>
          <w:color w:val="000000"/>
          <w:sz w:val="22"/>
          <w:szCs w:val="22"/>
        </w:rPr>
      </w:pPr>
    </w:p>
    <w:p w14:paraId="74392749" w14:textId="1AC0DE89" w:rsidR="00BF23B4" w:rsidRPr="00462287" w:rsidRDefault="00F031EA" w:rsidP="00BF2C93">
      <w:pPr>
        <w:contextualSpacing/>
        <w:rPr>
          <w:b/>
          <w:color w:val="000000"/>
          <w:sz w:val="22"/>
          <w:szCs w:val="22"/>
        </w:rPr>
      </w:pPr>
      <w:r>
        <w:rPr>
          <w:b/>
          <w:color w:val="000000"/>
          <w:sz w:val="22"/>
          <w:szCs w:val="22"/>
        </w:rPr>
        <w:t>O</w:t>
      </w:r>
      <w:r w:rsidR="00BF23B4" w:rsidRPr="00462287">
        <w:rPr>
          <w:b/>
          <w:color w:val="000000"/>
          <w:sz w:val="22"/>
          <w:szCs w:val="22"/>
        </w:rPr>
        <w:t xml:space="preserve">ption </w:t>
      </w:r>
      <w:r w:rsidR="004672E0">
        <w:rPr>
          <w:b/>
          <w:color w:val="000000"/>
          <w:sz w:val="22"/>
          <w:szCs w:val="22"/>
        </w:rPr>
        <w:t>U</w:t>
      </w:r>
      <w:r w:rsidR="00BF23B4" w:rsidRPr="00462287">
        <w:rPr>
          <w:b/>
          <w:color w:val="000000"/>
          <w:sz w:val="22"/>
          <w:szCs w:val="22"/>
        </w:rPr>
        <w:t xml:space="preserve">sed to </w:t>
      </w:r>
      <w:r w:rsidR="004672E0">
        <w:rPr>
          <w:b/>
          <w:color w:val="000000"/>
          <w:sz w:val="22"/>
          <w:szCs w:val="22"/>
        </w:rPr>
        <w:t>D</w:t>
      </w:r>
      <w:r w:rsidR="00BF23B4" w:rsidRPr="00462287">
        <w:rPr>
          <w:b/>
          <w:color w:val="000000"/>
          <w:sz w:val="22"/>
          <w:szCs w:val="22"/>
        </w:rPr>
        <w:t xml:space="preserve">etermine </w:t>
      </w:r>
      <w:r w:rsidR="004672E0">
        <w:rPr>
          <w:b/>
          <w:color w:val="000000"/>
          <w:sz w:val="22"/>
          <w:szCs w:val="22"/>
        </w:rPr>
        <w:t>W</w:t>
      </w:r>
      <w:r>
        <w:rPr>
          <w:b/>
          <w:color w:val="000000"/>
          <w:sz w:val="22"/>
          <w:szCs w:val="22"/>
        </w:rPr>
        <w:t>hether Title I Schools A</w:t>
      </w:r>
      <w:r w:rsidR="00BF23B4" w:rsidRPr="00462287">
        <w:rPr>
          <w:b/>
          <w:color w:val="000000"/>
          <w:sz w:val="22"/>
          <w:szCs w:val="22"/>
        </w:rPr>
        <w:t xml:space="preserve">re </w:t>
      </w:r>
      <w:r w:rsidR="004672E0">
        <w:rPr>
          <w:b/>
          <w:color w:val="000000"/>
          <w:sz w:val="22"/>
          <w:szCs w:val="22"/>
        </w:rPr>
        <w:t>C</w:t>
      </w:r>
      <w:r w:rsidR="00BF23B4" w:rsidRPr="00462287">
        <w:rPr>
          <w:b/>
          <w:color w:val="000000"/>
          <w:sz w:val="22"/>
          <w:szCs w:val="22"/>
        </w:rPr>
        <w:t>omparable</w:t>
      </w:r>
    </w:p>
    <w:p w14:paraId="4FA522C4" w14:textId="77777777" w:rsidR="00BF23B4" w:rsidRPr="00462287" w:rsidRDefault="00BF23B4" w:rsidP="00BF2C93">
      <w:pPr>
        <w:contextualSpacing/>
        <w:rPr>
          <w:color w:val="000000"/>
          <w:sz w:val="22"/>
          <w:szCs w:val="22"/>
        </w:rPr>
      </w:pPr>
      <w:r w:rsidRPr="00462287">
        <w:rPr>
          <w:color w:val="000000"/>
          <w:sz w:val="22"/>
          <w:szCs w:val="22"/>
          <w:highlight w:val="yellow"/>
        </w:rPr>
        <w:t>LEA name</w:t>
      </w:r>
      <w:r w:rsidRPr="00462287">
        <w:rPr>
          <w:color w:val="000000"/>
          <w:sz w:val="22"/>
          <w:szCs w:val="22"/>
        </w:rPr>
        <w:t xml:space="preserve"> is currently exempt from determining comparability; therefore, option </w:t>
      </w:r>
      <w:r w:rsidRPr="00462287">
        <w:rPr>
          <w:i/>
          <w:color w:val="000000"/>
          <w:sz w:val="22"/>
          <w:szCs w:val="22"/>
        </w:rPr>
        <w:t>Not Applicable</w:t>
      </w:r>
      <w:r w:rsidRPr="00462287">
        <w:rPr>
          <w:color w:val="000000"/>
          <w:sz w:val="22"/>
          <w:szCs w:val="22"/>
        </w:rPr>
        <w:t xml:space="preserve"> is selected for the current year’s comparability cycle and reported through a signed comparability attestation.</w:t>
      </w:r>
      <w:r w:rsidRPr="00462287">
        <w:rPr>
          <w:sz w:val="22"/>
          <w:szCs w:val="22"/>
        </w:rPr>
        <w:t xml:space="preserve"> </w:t>
      </w:r>
      <w:r w:rsidRPr="00462287">
        <w:rPr>
          <w:color w:val="000000"/>
          <w:sz w:val="22"/>
          <w:szCs w:val="22"/>
        </w:rPr>
        <w:t xml:space="preserve">This is an exemption stated in section 1118(c)(4). </w:t>
      </w:r>
    </w:p>
    <w:p w14:paraId="0D338DCD" w14:textId="77777777" w:rsidR="00BF23B4" w:rsidRPr="005E6955" w:rsidRDefault="00BF23B4" w:rsidP="00BF2C93">
      <w:pPr>
        <w:numPr>
          <w:ilvl w:val="0"/>
          <w:numId w:val="1"/>
        </w:numPr>
        <w:contextualSpacing/>
        <w:rPr>
          <w:color w:val="000000"/>
          <w:sz w:val="22"/>
          <w:szCs w:val="22"/>
        </w:rPr>
      </w:pPr>
      <w:r w:rsidRPr="00462287">
        <w:rPr>
          <w:sz w:val="22"/>
          <w:szCs w:val="22"/>
        </w:rPr>
        <w:t xml:space="preserve">LEA may exclude schools that have fewer than 100 students. </w:t>
      </w:r>
    </w:p>
    <w:p w14:paraId="599FF2B1" w14:textId="62CEDAE5" w:rsidR="005E6955" w:rsidRPr="005E6955" w:rsidRDefault="005E6955" w:rsidP="005E6955">
      <w:pPr>
        <w:pStyle w:val="Default"/>
        <w:numPr>
          <w:ilvl w:val="0"/>
          <w:numId w:val="1"/>
        </w:numPr>
        <w:contextualSpacing/>
        <w:rPr>
          <w:color w:val="auto"/>
          <w:sz w:val="22"/>
          <w:szCs w:val="22"/>
        </w:rPr>
      </w:pPr>
      <w:r>
        <w:rPr>
          <w:color w:val="auto"/>
          <w:sz w:val="22"/>
          <w:szCs w:val="22"/>
        </w:rPr>
        <w:t xml:space="preserve">An </w:t>
      </w:r>
      <w:r w:rsidRPr="0034140A">
        <w:rPr>
          <w:color w:val="auto"/>
          <w:sz w:val="22"/>
          <w:szCs w:val="22"/>
        </w:rPr>
        <w:t>LEA</w:t>
      </w:r>
      <w:r>
        <w:rPr>
          <w:color w:val="auto"/>
          <w:sz w:val="22"/>
          <w:szCs w:val="22"/>
        </w:rPr>
        <w:t xml:space="preserve"> does not have to determine comparability if it has only</w:t>
      </w:r>
      <w:r w:rsidRPr="0034140A">
        <w:rPr>
          <w:color w:val="auto"/>
          <w:sz w:val="22"/>
          <w:szCs w:val="22"/>
        </w:rPr>
        <w:t xml:space="preserve"> one building for each grade span as aligned with </w:t>
      </w:r>
      <w:r w:rsidRPr="004A690E">
        <w:rPr>
          <w:sz w:val="22"/>
          <w:szCs w:val="22"/>
        </w:rPr>
        <w:t>the</w:t>
      </w:r>
      <w:r>
        <w:rPr>
          <w:sz w:val="22"/>
          <w:szCs w:val="22"/>
        </w:rPr>
        <w:t>ir</w:t>
      </w:r>
      <w:r w:rsidRPr="004A690E">
        <w:rPr>
          <w:sz w:val="22"/>
          <w:szCs w:val="22"/>
        </w:rPr>
        <w:t xml:space="preserve"> </w:t>
      </w:r>
      <w:r>
        <w:rPr>
          <w:sz w:val="22"/>
          <w:szCs w:val="22"/>
        </w:rPr>
        <w:t>MSID number</w:t>
      </w:r>
      <w:r w:rsidRPr="0034140A">
        <w:rPr>
          <w:color w:val="auto"/>
          <w:sz w:val="22"/>
          <w:szCs w:val="22"/>
        </w:rPr>
        <w:t xml:space="preserve">. </w:t>
      </w:r>
    </w:p>
    <w:p w14:paraId="0DD3A7B9" w14:textId="0790B83D" w:rsidR="00BF23B4" w:rsidRPr="00462287" w:rsidRDefault="00BF23B4" w:rsidP="00BF2C93">
      <w:pPr>
        <w:numPr>
          <w:ilvl w:val="0"/>
          <w:numId w:val="1"/>
        </w:numPr>
        <w:contextualSpacing/>
        <w:rPr>
          <w:color w:val="000000"/>
          <w:sz w:val="22"/>
          <w:szCs w:val="22"/>
        </w:rPr>
      </w:pPr>
      <w:r w:rsidRPr="00462287">
        <w:rPr>
          <w:sz w:val="22"/>
          <w:szCs w:val="22"/>
        </w:rPr>
        <w:t xml:space="preserve">An LEA </w:t>
      </w:r>
      <w:r w:rsidR="004672E0">
        <w:rPr>
          <w:sz w:val="22"/>
          <w:szCs w:val="22"/>
        </w:rPr>
        <w:t>does not need to</w:t>
      </w:r>
      <w:r w:rsidRPr="00462287">
        <w:rPr>
          <w:sz w:val="22"/>
          <w:szCs w:val="22"/>
        </w:rPr>
        <w:t xml:space="preserve"> demonstrate comparability if it has only one school at each grade span.</w:t>
      </w:r>
    </w:p>
    <w:p w14:paraId="0BD62B2B" w14:textId="77777777" w:rsidR="00BF23B4" w:rsidRPr="00462287" w:rsidRDefault="00BF23B4" w:rsidP="00BF2C93">
      <w:pPr>
        <w:contextualSpacing/>
        <w:rPr>
          <w:color w:val="000000"/>
          <w:sz w:val="22"/>
          <w:szCs w:val="22"/>
        </w:rPr>
      </w:pPr>
    </w:p>
    <w:p w14:paraId="3242C49F" w14:textId="77777777" w:rsidR="00BF23B4" w:rsidRPr="00462287" w:rsidRDefault="00BF23B4" w:rsidP="00BF2C93">
      <w:pPr>
        <w:contextualSpacing/>
        <w:rPr>
          <w:color w:val="000000"/>
          <w:sz w:val="22"/>
          <w:szCs w:val="22"/>
        </w:rPr>
      </w:pPr>
      <w:r w:rsidRPr="00462287">
        <w:rPr>
          <w:color w:val="000000"/>
          <w:sz w:val="22"/>
          <w:szCs w:val="22"/>
          <w:highlight w:val="yellow"/>
        </w:rPr>
        <w:t>LEA position title, person’s name</w:t>
      </w:r>
      <w:r w:rsidRPr="00462287">
        <w:rPr>
          <w:color w:val="000000"/>
          <w:sz w:val="22"/>
          <w:szCs w:val="22"/>
        </w:rPr>
        <w:t xml:space="preserve"> will conduct an annual review of this statute in </w:t>
      </w:r>
      <w:r w:rsidRPr="00462287">
        <w:rPr>
          <w:color w:val="000000"/>
          <w:sz w:val="22"/>
          <w:szCs w:val="22"/>
          <w:highlight w:val="yellow"/>
        </w:rPr>
        <w:t>month</w:t>
      </w:r>
      <w:r w:rsidRPr="00462287">
        <w:rPr>
          <w:color w:val="000000"/>
          <w:sz w:val="22"/>
          <w:szCs w:val="22"/>
        </w:rPr>
        <w:t xml:space="preserve"> to ensure that this exemption still applies. Comparability procedures will be revised upon changes in the statute or changes in the number of grade spans per building.</w:t>
      </w:r>
    </w:p>
    <w:p w14:paraId="467DE3D9" w14:textId="77777777" w:rsidR="00BF23B4" w:rsidRPr="00462287" w:rsidRDefault="00BF23B4" w:rsidP="00BF2C93">
      <w:pPr>
        <w:contextualSpacing/>
        <w:rPr>
          <w:b/>
          <w:color w:val="000000"/>
          <w:sz w:val="22"/>
          <w:szCs w:val="22"/>
        </w:rPr>
      </w:pPr>
    </w:p>
    <w:p w14:paraId="669ADEBC" w14:textId="29C26D7C" w:rsidR="00BF23B4" w:rsidRPr="00462287" w:rsidRDefault="00F031EA" w:rsidP="00BF2C93">
      <w:pPr>
        <w:contextualSpacing/>
        <w:rPr>
          <w:b/>
          <w:color w:val="000000"/>
          <w:sz w:val="22"/>
          <w:szCs w:val="22"/>
        </w:rPr>
      </w:pPr>
      <w:r>
        <w:rPr>
          <w:b/>
          <w:color w:val="000000"/>
          <w:sz w:val="22"/>
          <w:szCs w:val="22"/>
        </w:rPr>
        <w:t>Definitions and/or</w:t>
      </w:r>
      <w:r w:rsidR="00BF23B4" w:rsidRPr="00462287">
        <w:rPr>
          <w:b/>
          <w:color w:val="000000"/>
          <w:sz w:val="22"/>
          <w:szCs w:val="22"/>
        </w:rPr>
        <w:t xml:space="preserve"> Specifications</w:t>
      </w:r>
    </w:p>
    <w:p w14:paraId="1BC259B2" w14:textId="5554D495" w:rsidR="00BF23B4" w:rsidRPr="00462287" w:rsidRDefault="00BF23B4" w:rsidP="00BF2C93">
      <w:pPr>
        <w:contextualSpacing/>
        <w:rPr>
          <w:color w:val="000000"/>
          <w:sz w:val="22"/>
          <w:szCs w:val="22"/>
        </w:rPr>
      </w:pPr>
      <w:r w:rsidRPr="00462287">
        <w:rPr>
          <w:color w:val="000000"/>
          <w:sz w:val="22"/>
          <w:szCs w:val="22"/>
        </w:rPr>
        <w:t xml:space="preserve">If the need arrives and the pupil-teacher ratio option is required, procedures that specify or define non-federal instructional staff and instructional materials/supplies will be described in the LEA’s written comparability procedures as outlined in the current Comparability </w:t>
      </w:r>
      <w:r w:rsidR="004A4940">
        <w:rPr>
          <w:color w:val="000000"/>
          <w:sz w:val="22"/>
          <w:szCs w:val="22"/>
        </w:rPr>
        <w:t>Guide</w:t>
      </w:r>
      <w:r w:rsidRPr="00462287">
        <w:rPr>
          <w:color w:val="000000"/>
          <w:sz w:val="22"/>
          <w:szCs w:val="22"/>
        </w:rPr>
        <w:t xml:space="preserve"> and the Title I Fiscal Issues Non-Regulatory Guidance.  The LEA will include in its written procedures the LEA’s use of </w:t>
      </w:r>
      <w:r w:rsidR="004A4940">
        <w:rPr>
          <w:color w:val="000000"/>
          <w:sz w:val="22"/>
          <w:szCs w:val="22"/>
        </w:rPr>
        <w:t>state and local f</w:t>
      </w:r>
      <w:r w:rsidRPr="00462287">
        <w:rPr>
          <w:color w:val="000000"/>
          <w:sz w:val="22"/>
          <w:szCs w:val="22"/>
        </w:rPr>
        <w:t>unds, if applicable.</w:t>
      </w:r>
    </w:p>
    <w:p w14:paraId="42A50EB5" w14:textId="77777777" w:rsidR="001459BF" w:rsidRDefault="001459BF" w:rsidP="00BF2C93">
      <w:pPr>
        <w:spacing w:after="120"/>
        <w:contextualSpacing/>
        <w:rPr>
          <w:b/>
          <w:color w:val="000000"/>
          <w:sz w:val="22"/>
          <w:szCs w:val="22"/>
        </w:rPr>
      </w:pPr>
    </w:p>
    <w:p w14:paraId="443441FC" w14:textId="77777777" w:rsidR="00F031EA" w:rsidRDefault="00F031EA" w:rsidP="00BF2C93">
      <w:pPr>
        <w:spacing w:after="160"/>
        <w:contextualSpacing/>
        <w:rPr>
          <w:b/>
          <w:color w:val="000000"/>
          <w:sz w:val="22"/>
          <w:szCs w:val="22"/>
        </w:rPr>
      </w:pPr>
      <w:r>
        <w:rPr>
          <w:b/>
          <w:color w:val="000000"/>
          <w:sz w:val="22"/>
          <w:szCs w:val="22"/>
        </w:rPr>
        <w:br w:type="page"/>
      </w:r>
    </w:p>
    <w:p w14:paraId="78D23244" w14:textId="22EEF4DB" w:rsidR="001459BF" w:rsidRPr="00462287" w:rsidRDefault="00BF23B4" w:rsidP="00BF2C93">
      <w:pPr>
        <w:contextualSpacing/>
        <w:rPr>
          <w:b/>
          <w:color w:val="000000"/>
          <w:sz w:val="22"/>
          <w:szCs w:val="22"/>
        </w:rPr>
      </w:pPr>
      <w:r w:rsidRPr="00462287">
        <w:rPr>
          <w:b/>
          <w:color w:val="000000"/>
          <w:sz w:val="22"/>
          <w:szCs w:val="22"/>
        </w:rPr>
        <w:lastRenderedPageBreak/>
        <w:t>Source of Data</w:t>
      </w:r>
    </w:p>
    <w:p w14:paraId="2EDBB4EB" w14:textId="1C002F41" w:rsidR="00BF23B4" w:rsidRPr="00462287" w:rsidRDefault="00BF23B4" w:rsidP="00BF2C93">
      <w:pPr>
        <w:contextualSpacing/>
        <w:rPr>
          <w:color w:val="000000"/>
          <w:sz w:val="22"/>
          <w:szCs w:val="22"/>
        </w:rPr>
      </w:pPr>
      <w:r w:rsidRPr="00462287">
        <w:rPr>
          <w:color w:val="000000"/>
          <w:sz w:val="22"/>
          <w:szCs w:val="22"/>
          <w:highlight w:val="yellow"/>
        </w:rPr>
        <w:t>LEA position title, person’s name</w:t>
      </w:r>
      <w:r w:rsidRPr="00462287">
        <w:rPr>
          <w:color w:val="000000"/>
          <w:sz w:val="22"/>
          <w:szCs w:val="22"/>
        </w:rPr>
        <w:t xml:space="preserve">, will ensure this exemption statute still applies by looking at the number of schools operating in </w:t>
      </w:r>
      <w:r w:rsidRPr="00462287">
        <w:rPr>
          <w:color w:val="000000"/>
          <w:sz w:val="22"/>
          <w:szCs w:val="22"/>
          <w:highlight w:val="yellow"/>
        </w:rPr>
        <w:t>LEA name.</w:t>
      </w:r>
      <w:r w:rsidRPr="00462287">
        <w:rPr>
          <w:color w:val="000000"/>
          <w:sz w:val="22"/>
          <w:szCs w:val="22"/>
        </w:rPr>
        <w:t xml:space="preserve"> This will be accomplished by pulling data from </w:t>
      </w:r>
      <w:r w:rsidR="005E6955">
        <w:rPr>
          <w:color w:val="000000"/>
          <w:sz w:val="22"/>
          <w:szCs w:val="22"/>
        </w:rPr>
        <w:t>the FDOE MSID</w:t>
      </w:r>
      <w:r w:rsidRPr="00462287">
        <w:rPr>
          <w:color w:val="000000"/>
          <w:sz w:val="22"/>
          <w:szCs w:val="22"/>
        </w:rPr>
        <w:t xml:space="preserve"> and utilizing the LEA’s Title I, Part A Public Schools Eligibility Survey</w:t>
      </w:r>
      <w:r w:rsidR="005E6955">
        <w:rPr>
          <w:color w:val="000000"/>
          <w:sz w:val="22"/>
          <w:szCs w:val="22"/>
        </w:rPr>
        <w:t xml:space="preserve"> (PSES)</w:t>
      </w:r>
      <w:r w:rsidRPr="00462287">
        <w:rPr>
          <w:color w:val="000000"/>
          <w:sz w:val="22"/>
          <w:szCs w:val="22"/>
        </w:rPr>
        <w:t xml:space="preserve">. </w:t>
      </w:r>
    </w:p>
    <w:p w14:paraId="3DB878CF" w14:textId="77777777" w:rsidR="00BF23B4" w:rsidRPr="00462287" w:rsidRDefault="00BF23B4" w:rsidP="00BF2C93">
      <w:pPr>
        <w:contextualSpacing/>
        <w:rPr>
          <w:color w:val="000000"/>
          <w:sz w:val="22"/>
          <w:szCs w:val="22"/>
        </w:rPr>
      </w:pPr>
    </w:p>
    <w:p w14:paraId="0B20F6C1" w14:textId="62E31860" w:rsidR="001459BF" w:rsidRDefault="00BF23B4" w:rsidP="00BF2C93">
      <w:pPr>
        <w:contextualSpacing/>
        <w:rPr>
          <w:color w:val="000000"/>
          <w:sz w:val="22"/>
          <w:szCs w:val="22"/>
        </w:rPr>
      </w:pPr>
      <w:r w:rsidRPr="00462287">
        <w:rPr>
          <w:b/>
          <w:color w:val="000000"/>
          <w:sz w:val="22"/>
          <w:szCs w:val="22"/>
        </w:rPr>
        <w:t>Date Certain</w:t>
      </w:r>
    </w:p>
    <w:p w14:paraId="58D3CEDC" w14:textId="2A7FFD30" w:rsidR="00BF23B4" w:rsidRPr="00462287" w:rsidRDefault="00BF23B4" w:rsidP="00BF2C93">
      <w:pPr>
        <w:contextualSpacing/>
        <w:rPr>
          <w:color w:val="000000"/>
          <w:sz w:val="22"/>
          <w:szCs w:val="22"/>
        </w:rPr>
      </w:pPr>
      <w:r w:rsidRPr="001459BF">
        <w:rPr>
          <w:color w:val="000000"/>
          <w:sz w:val="22"/>
          <w:szCs w:val="22"/>
        </w:rPr>
        <w:t>Date during Survey Two when data was collected and a Non-Applicable exemption determination was made</w:t>
      </w:r>
      <w:r w:rsidR="001459BF">
        <w:rPr>
          <w:color w:val="000000"/>
          <w:sz w:val="22"/>
          <w:szCs w:val="22"/>
        </w:rPr>
        <w:t xml:space="preserve">. For the purpose of reporting; this year’s date certain is </w:t>
      </w:r>
      <w:r w:rsidR="001459BF" w:rsidRPr="001459BF">
        <w:rPr>
          <w:color w:val="000000"/>
          <w:sz w:val="22"/>
          <w:szCs w:val="22"/>
          <w:highlight w:val="yellow"/>
        </w:rPr>
        <w:t>XX/XX/XXXX</w:t>
      </w:r>
      <w:r w:rsidR="001459BF">
        <w:rPr>
          <w:color w:val="000000"/>
          <w:sz w:val="22"/>
          <w:szCs w:val="22"/>
        </w:rPr>
        <w:t xml:space="preserve"> </w:t>
      </w:r>
      <w:r w:rsidR="001459BF" w:rsidRPr="001459BF">
        <w:rPr>
          <w:color w:val="000000"/>
          <w:sz w:val="22"/>
          <w:szCs w:val="22"/>
        </w:rPr>
        <w:t>(</w:t>
      </w:r>
      <w:r w:rsidRPr="001459BF">
        <w:rPr>
          <w:color w:val="000000"/>
          <w:sz w:val="22"/>
          <w:szCs w:val="22"/>
        </w:rPr>
        <w:t>Note: This is typically the last Friday in October during Survey 2.)</w:t>
      </w:r>
    </w:p>
    <w:p w14:paraId="50B3AE94" w14:textId="77777777" w:rsidR="00BF23B4" w:rsidRPr="00462287" w:rsidRDefault="00BF23B4" w:rsidP="00BF2C93">
      <w:pPr>
        <w:contextualSpacing/>
        <w:rPr>
          <w:color w:val="000000"/>
          <w:sz w:val="22"/>
          <w:szCs w:val="22"/>
        </w:rPr>
      </w:pPr>
    </w:p>
    <w:p w14:paraId="27A010D7" w14:textId="4DED4D8F" w:rsidR="001459BF" w:rsidRDefault="004A4940" w:rsidP="00BF2C93">
      <w:pPr>
        <w:contextualSpacing/>
        <w:rPr>
          <w:b/>
          <w:color w:val="000000"/>
          <w:sz w:val="22"/>
          <w:szCs w:val="22"/>
        </w:rPr>
      </w:pPr>
      <w:r>
        <w:rPr>
          <w:b/>
          <w:color w:val="000000"/>
          <w:sz w:val="22"/>
          <w:szCs w:val="22"/>
        </w:rPr>
        <w:t>Schools</w:t>
      </w:r>
      <w:r w:rsidR="00BF23B4" w:rsidRPr="00462287">
        <w:rPr>
          <w:b/>
          <w:color w:val="000000"/>
          <w:sz w:val="22"/>
          <w:szCs w:val="22"/>
        </w:rPr>
        <w:t xml:space="preserve"> </w:t>
      </w:r>
      <w:r>
        <w:rPr>
          <w:b/>
          <w:color w:val="000000"/>
          <w:sz w:val="22"/>
          <w:szCs w:val="22"/>
        </w:rPr>
        <w:t>T</w:t>
      </w:r>
      <w:r w:rsidR="00F031EA">
        <w:rPr>
          <w:b/>
          <w:color w:val="000000"/>
          <w:sz w:val="22"/>
          <w:szCs w:val="22"/>
        </w:rPr>
        <w:t>hat Are N</w:t>
      </w:r>
      <w:r w:rsidR="00BF23B4" w:rsidRPr="00462287">
        <w:rPr>
          <w:b/>
          <w:color w:val="000000"/>
          <w:sz w:val="22"/>
          <w:szCs w:val="22"/>
        </w:rPr>
        <w:t xml:space="preserve">ot </w:t>
      </w:r>
      <w:r>
        <w:rPr>
          <w:b/>
          <w:color w:val="000000"/>
          <w:sz w:val="22"/>
          <w:szCs w:val="22"/>
        </w:rPr>
        <w:t>C</w:t>
      </w:r>
      <w:r w:rsidR="00BF23B4" w:rsidRPr="00462287">
        <w:rPr>
          <w:b/>
          <w:color w:val="000000"/>
          <w:sz w:val="22"/>
          <w:szCs w:val="22"/>
        </w:rPr>
        <w:t>omparable (including charter schools, if applicable)</w:t>
      </w:r>
      <w:r w:rsidR="001459BF">
        <w:rPr>
          <w:b/>
          <w:color w:val="000000"/>
          <w:sz w:val="22"/>
          <w:szCs w:val="22"/>
        </w:rPr>
        <w:t xml:space="preserve"> </w:t>
      </w:r>
    </w:p>
    <w:p w14:paraId="35FC377F" w14:textId="6404CFAD" w:rsidR="00BF23B4" w:rsidRDefault="00BF23B4" w:rsidP="00BF2C93">
      <w:pPr>
        <w:contextualSpacing/>
        <w:rPr>
          <w:color w:val="000000"/>
          <w:sz w:val="22"/>
          <w:szCs w:val="22"/>
        </w:rPr>
      </w:pPr>
      <w:r w:rsidRPr="00462287">
        <w:rPr>
          <w:color w:val="000000"/>
          <w:sz w:val="22"/>
          <w:szCs w:val="22"/>
        </w:rPr>
        <w:t xml:space="preserve">The LEA is currently exempt. </w:t>
      </w:r>
      <w:r w:rsidRPr="00462287">
        <w:rPr>
          <w:color w:val="000000"/>
          <w:sz w:val="22"/>
          <w:szCs w:val="22"/>
          <w:highlight w:val="yellow"/>
        </w:rPr>
        <w:t>The LEA has X elementary school/s, X middle school/s, and X high school/s, and X combination school/s.</w:t>
      </w:r>
      <w:r w:rsidRPr="00462287">
        <w:rPr>
          <w:color w:val="000000"/>
          <w:sz w:val="22"/>
          <w:szCs w:val="22"/>
        </w:rPr>
        <w:t xml:space="preserve"> These grade span counts include any virtual school/s. There are no additional schools in these grade spans in which to make a comparison. The LEA will annually evaluate the schools served for any status changes and will follow the requirements for ensuring all schools are included in the comparability reporting.</w:t>
      </w:r>
    </w:p>
    <w:p w14:paraId="5C3DDAF4" w14:textId="77777777" w:rsidR="001459BF" w:rsidRPr="00462287" w:rsidRDefault="001459BF" w:rsidP="00BF2C93">
      <w:pPr>
        <w:contextualSpacing/>
        <w:rPr>
          <w:color w:val="000000"/>
          <w:sz w:val="22"/>
          <w:szCs w:val="22"/>
        </w:rPr>
      </w:pPr>
    </w:p>
    <w:p w14:paraId="0F596076" w14:textId="28244091" w:rsidR="001459BF" w:rsidRPr="001459BF" w:rsidRDefault="00BF23B4" w:rsidP="00BF2C93">
      <w:pPr>
        <w:contextualSpacing/>
        <w:rPr>
          <w:b/>
          <w:color w:val="000000"/>
          <w:sz w:val="22"/>
          <w:szCs w:val="22"/>
        </w:rPr>
      </w:pPr>
      <w:r w:rsidRPr="00462287">
        <w:rPr>
          <w:b/>
          <w:color w:val="000000"/>
          <w:sz w:val="22"/>
          <w:szCs w:val="22"/>
        </w:rPr>
        <w:t>Reporting Procedures</w:t>
      </w:r>
    </w:p>
    <w:p w14:paraId="4FEF2A17" w14:textId="01B0F315" w:rsidR="00BF23B4" w:rsidRPr="00462287" w:rsidRDefault="00BF23B4" w:rsidP="00BF2C93">
      <w:pPr>
        <w:contextualSpacing/>
        <w:rPr>
          <w:color w:val="000000"/>
          <w:sz w:val="22"/>
          <w:szCs w:val="22"/>
        </w:rPr>
      </w:pPr>
      <w:r w:rsidRPr="00462287">
        <w:rPr>
          <w:color w:val="000000"/>
          <w:sz w:val="22"/>
          <w:szCs w:val="22"/>
        </w:rPr>
        <w:t xml:space="preserve">In </w:t>
      </w:r>
      <w:r w:rsidRPr="00462287">
        <w:rPr>
          <w:color w:val="000000"/>
          <w:sz w:val="22"/>
          <w:szCs w:val="22"/>
          <w:highlight w:val="yellow"/>
        </w:rPr>
        <w:t>LEA name</w:t>
      </w:r>
      <w:r w:rsidRPr="00462287">
        <w:rPr>
          <w:color w:val="000000"/>
          <w:sz w:val="22"/>
          <w:szCs w:val="22"/>
        </w:rPr>
        <w:t xml:space="preserve">’s reporting cycle, the </w:t>
      </w:r>
      <w:r w:rsidRPr="00462287">
        <w:rPr>
          <w:color w:val="000000"/>
          <w:sz w:val="22"/>
          <w:szCs w:val="22"/>
          <w:highlight w:val="yellow"/>
        </w:rPr>
        <w:t>LEA position title</w:t>
      </w:r>
      <w:r w:rsidRPr="00462287">
        <w:rPr>
          <w:color w:val="000000"/>
          <w:sz w:val="22"/>
          <w:szCs w:val="22"/>
        </w:rPr>
        <w:t xml:space="preserve"> will complete the comparability reporting process developed by the </w:t>
      </w:r>
      <w:r w:rsidR="005E6955">
        <w:rPr>
          <w:color w:val="000000"/>
          <w:sz w:val="22"/>
          <w:szCs w:val="22"/>
        </w:rPr>
        <w:t>FDOE</w:t>
      </w:r>
      <w:r w:rsidRPr="00462287">
        <w:rPr>
          <w:color w:val="000000"/>
          <w:sz w:val="22"/>
          <w:szCs w:val="22"/>
        </w:rPr>
        <w:t xml:space="preserve">. During the reporting window dates, a signed and dated </w:t>
      </w:r>
      <w:r w:rsidR="00051DC6">
        <w:rPr>
          <w:color w:val="000000"/>
          <w:sz w:val="22"/>
          <w:szCs w:val="22"/>
        </w:rPr>
        <w:t>C</w:t>
      </w:r>
      <w:r w:rsidRPr="00462287">
        <w:rPr>
          <w:color w:val="000000"/>
          <w:sz w:val="22"/>
          <w:szCs w:val="22"/>
        </w:rPr>
        <w:t xml:space="preserve">omparability </w:t>
      </w:r>
      <w:r w:rsidR="00051DC6">
        <w:rPr>
          <w:color w:val="000000"/>
          <w:sz w:val="22"/>
          <w:szCs w:val="22"/>
        </w:rPr>
        <w:t>A</w:t>
      </w:r>
      <w:r w:rsidRPr="00462287">
        <w:rPr>
          <w:color w:val="000000"/>
          <w:sz w:val="22"/>
          <w:szCs w:val="22"/>
        </w:rPr>
        <w:t xml:space="preserve">ttestation </w:t>
      </w:r>
      <w:r w:rsidR="00051DC6">
        <w:rPr>
          <w:color w:val="000000"/>
          <w:sz w:val="22"/>
          <w:szCs w:val="22"/>
        </w:rPr>
        <w:t>F</w:t>
      </w:r>
      <w:r w:rsidRPr="00462287">
        <w:rPr>
          <w:color w:val="000000"/>
          <w:sz w:val="22"/>
          <w:szCs w:val="22"/>
        </w:rPr>
        <w:t xml:space="preserve">orm and this written procedure document will be </w:t>
      </w:r>
      <w:r w:rsidR="00051DC6">
        <w:rPr>
          <w:color w:val="000000"/>
          <w:sz w:val="22"/>
          <w:szCs w:val="22"/>
        </w:rPr>
        <w:t>submitted to TIPA@fldoe.org.</w:t>
      </w:r>
    </w:p>
    <w:p w14:paraId="252E8B6D" w14:textId="77777777" w:rsidR="00BF23B4" w:rsidRPr="00462287" w:rsidRDefault="00BF23B4" w:rsidP="00BF2C93">
      <w:pPr>
        <w:contextualSpacing/>
        <w:rPr>
          <w:color w:val="000000"/>
          <w:sz w:val="22"/>
          <w:szCs w:val="22"/>
        </w:rPr>
      </w:pPr>
    </w:p>
    <w:p w14:paraId="05A78AA0" w14:textId="10D62FC5" w:rsidR="00BF23B4" w:rsidRPr="00462287" w:rsidRDefault="00BF23B4" w:rsidP="00BF2C93">
      <w:pPr>
        <w:contextualSpacing/>
        <w:rPr>
          <w:color w:val="000000"/>
          <w:sz w:val="22"/>
          <w:szCs w:val="22"/>
        </w:rPr>
      </w:pPr>
      <w:r w:rsidRPr="00462287">
        <w:rPr>
          <w:color w:val="000000"/>
          <w:sz w:val="22"/>
          <w:szCs w:val="22"/>
        </w:rPr>
        <w:t xml:space="preserve">When not claiming a </w:t>
      </w:r>
      <w:r w:rsidR="00051DC6">
        <w:rPr>
          <w:color w:val="000000"/>
          <w:sz w:val="22"/>
          <w:szCs w:val="22"/>
        </w:rPr>
        <w:t>“</w:t>
      </w:r>
      <w:proofErr w:type="gramStart"/>
      <w:r w:rsidRPr="00462287">
        <w:rPr>
          <w:color w:val="000000"/>
          <w:sz w:val="22"/>
          <w:szCs w:val="22"/>
        </w:rPr>
        <w:t>Non-Applicable</w:t>
      </w:r>
      <w:proofErr w:type="gramEnd"/>
      <w:r w:rsidR="00051DC6">
        <w:rPr>
          <w:color w:val="000000"/>
          <w:sz w:val="22"/>
          <w:szCs w:val="22"/>
        </w:rPr>
        <w:t>”</w:t>
      </w:r>
      <w:r w:rsidRPr="00462287">
        <w:rPr>
          <w:color w:val="000000"/>
          <w:sz w:val="22"/>
          <w:szCs w:val="22"/>
        </w:rPr>
        <w:t xml:space="preserve"> option exemption, required documentation supporting comparability calculations, any corrections, and if applicable, a </w:t>
      </w:r>
      <w:r w:rsidR="00051DC6">
        <w:rPr>
          <w:color w:val="000000"/>
          <w:sz w:val="22"/>
          <w:szCs w:val="22"/>
        </w:rPr>
        <w:t>C</w:t>
      </w:r>
      <w:r w:rsidRPr="00462287">
        <w:rPr>
          <w:color w:val="000000"/>
          <w:sz w:val="22"/>
          <w:szCs w:val="22"/>
        </w:rPr>
        <w:t xml:space="preserve">omparability </w:t>
      </w:r>
      <w:r w:rsidR="00051DC6">
        <w:rPr>
          <w:color w:val="000000"/>
          <w:sz w:val="22"/>
          <w:szCs w:val="22"/>
        </w:rPr>
        <w:t>A</w:t>
      </w:r>
      <w:r w:rsidRPr="00462287">
        <w:rPr>
          <w:color w:val="000000"/>
          <w:sz w:val="22"/>
          <w:szCs w:val="22"/>
        </w:rPr>
        <w:t xml:space="preserve">ction </w:t>
      </w:r>
      <w:r w:rsidR="00051DC6">
        <w:rPr>
          <w:color w:val="000000"/>
          <w:sz w:val="22"/>
          <w:szCs w:val="22"/>
        </w:rPr>
        <w:t>P</w:t>
      </w:r>
      <w:r w:rsidRPr="00462287">
        <w:rPr>
          <w:color w:val="000000"/>
          <w:sz w:val="22"/>
          <w:szCs w:val="22"/>
        </w:rPr>
        <w:t>lan will be required by the FDOE, Title l, Part A program office. Copies of all comparability documents must be maintained in designated district office for audit purposes.</w:t>
      </w:r>
    </w:p>
    <w:p w14:paraId="077DCE2E" w14:textId="77777777" w:rsidR="00BF23B4" w:rsidRPr="00462287" w:rsidRDefault="00BF23B4" w:rsidP="00BF2C93">
      <w:pPr>
        <w:contextualSpacing/>
        <w:rPr>
          <w:color w:val="000000"/>
          <w:sz w:val="22"/>
          <w:szCs w:val="22"/>
        </w:rPr>
      </w:pPr>
    </w:p>
    <w:p w14:paraId="005B7B14" w14:textId="7695AC62" w:rsidR="00BF23B4" w:rsidRPr="00462287" w:rsidRDefault="00BF23B4" w:rsidP="00BF2C93">
      <w:pPr>
        <w:contextualSpacing/>
        <w:rPr>
          <w:color w:val="000000"/>
          <w:sz w:val="22"/>
          <w:szCs w:val="22"/>
        </w:rPr>
      </w:pPr>
      <w:r w:rsidRPr="00462287">
        <w:rPr>
          <w:color w:val="000000"/>
          <w:sz w:val="22"/>
          <w:szCs w:val="22"/>
        </w:rPr>
        <w:t xml:space="preserve">As a Cycle A reporting LEA, </w:t>
      </w:r>
      <w:r w:rsidR="00051DC6">
        <w:rPr>
          <w:color w:val="000000"/>
          <w:sz w:val="22"/>
          <w:szCs w:val="22"/>
        </w:rPr>
        <w:t>for this year</w:t>
      </w:r>
      <w:r w:rsidRPr="00462287">
        <w:rPr>
          <w:color w:val="000000"/>
          <w:sz w:val="22"/>
          <w:szCs w:val="22"/>
        </w:rPr>
        <w:t xml:space="preserve">, only a completed </w:t>
      </w:r>
      <w:r w:rsidR="00051DC6">
        <w:rPr>
          <w:color w:val="000000"/>
          <w:sz w:val="22"/>
          <w:szCs w:val="22"/>
        </w:rPr>
        <w:t>C</w:t>
      </w:r>
      <w:r w:rsidRPr="00462287">
        <w:rPr>
          <w:color w:val="000000"/>
          <w:sz w:val="22"/>
          <w:szCs w:val="22"/>
        </w:rPr>
        <w:t xml:space="preserve">omparability </w:t>
      </w:r>
      <w:r w:rsidR="00051DC6">
        <w:rPr>
          <w:color w:val="000000"/>
          <w:sz w:val="22"/>
          <w:szCs w:val="22"/>
        </w:rPr>
        <w:t>A</w:t>
      </w:r>
      <w:r w:rsidRPr="00462287">
        <w:rPr>
          <w:color w:val="000000"/>
          <w:sz w:val="22"/>
          <w:szCs w:val="22"/>
        </w:rPr>
        <w:t xml:space="preserve">ttestation </w:t>
      </w:r>
      <w:r w:rsidR="00051DC6">
        <w:rPr>
          <w:color w:val="000000"/>
          <w:sz w:val="22"/>
          <w:szCs w:val="22"/>
        </w:rPr>
        <w:t>F</w:t>
      </w:r>
      <w:r w:rsidRPr="00462287">
        <w:rPr>
          <w:color w:val="000000"/>
          <w:sz w:val="22"/>
          <w:szCs w:val="22"/>
        </w:rPr>
        <w:t>orm would be submitted t</w:t>
      </w:r>
      <w:r w:rsidR="00051DC6">
        <w:rPr>
          <w:color w:val="000000"/>
          <w:sz w:val="22"/>
          <w:szCs w:val="22"/>
        </w:rPr>
        <w:t>o TIPA@fldoe.org</w:t>
      </w:r>
      <w:r w:rsidRPr="00462287">
        <w:rPr>
          <w:color w:val="000000"/>
          <w:sz w:val="22"/>
          <w:szCs w:val="22"/>
        </w:rPr>
        <w:t xml:space="preserve"> on or before the due date as stipulated by the FDOE. </w:t>
      </w:r>
    </w:p>
    <w:p w14:paraId="508D62DD" w14:textId="77777777" w:rsidR="00BF23B4" w:rsidRPr="00462287" w:rsidRDefault="00BF23B4" w:rsidP="00BF2C93">
      <w:pPr>
        <w:contextualSpacing/>
        <w:rPr>
          <w:color w:val="000000"/>
          <w:sz w:val="22"/>
          <w:szCs w:val="22"/>
        </w:rPr>
      </w:pPr>
    </w:p>
    <w:p w14:paraId="5B16A5C1" w14:textId="77777777" w:rsidR="00BF23B4" w:rsidRPr="00462287" w:rsidRDefault="00BF23B4" w:rsidP="00BF2C93">
      <w:pPr>
        <w:tabs>
          <w:tab w:val="left" w:pos="2640"/>
        </w:tabs>
        <w:contextualSpacing/>
        <w:jc w:val="center"/>
        <w:rPr>
          <w:b/>
          <w:bCs/>
          <w:sz w:val="22"/>
          <w:szCs w:val="22"/>
        </w:rPr>
      </w:pPr>
    </w:p>
    <w:p w14:paraId="0EE1D3CE" w14:textId="77777777" w:rsidR="00BF23B4" w:rsidRPr="00462287" w:rsidRDefault="00BF23B4" w:rsidP="00BF2C93">
      <w:pPr>
        <w:tabs>
          <w:tab w:val="left" w:pos="2640"/>
        </w:tabs>
        <w:contextualSpacing/>
        <w:jc w:val="center"/>
        <w:rPr>
          <w:b/>
          <w:bCs/>
          <w:sz w:val="22"/>
          <w:szCs w:val="22"/>
        </w:rPr>
      </w:pPr>
    </w:p>
    <w:p w14:paraId="08872E87" w14:textId="77777777" w:rsidR="00BF23B4" w:rsidRPr="00462287" w:rsidRDefault="00BF23B4" w:rsidP="00BF2C93">
      <w:pPr>
        <w:tabs>
          <w:tab w:val="left" w:pos="2640"/>
        </w:tabs>
        <w:contextualSpacing/>
        <w:rPr>
          <w:b/>
          <w:bCs/>
          <w:i/>
          <w:iCs/>
          <w:sz w:val="22"/>
          <w:szCs w:val="22"/>
        </w:rPr>
      </w:pPr>
    </w:p>
    <w:p w14:paraId="7C688DDB" w14:textId="77777777" w:rsidR="00BF23B4" w:rsidRPr="00462287" w:rsidRDefault="00BF23B4" w:rsidP="00BF2C93">
      <w:pPr>
        <w:contextualSpacing/>
        <w:rPr>
          <w:color w:val="000000"/>
          <w:sz w:val="22"/>
          <w:szCs w:val="22"/>
        </w:rPr>
      </w:pPr>
    </w:p>
    <w:p w14:paraId="72AB5E27" w14:textId="77777777" w:rsidR="00223C6B" w:rsidRPr="00462287" w:rsidRDefault="00223C6B" w:rsidP="00BF2C93">
      <w:pPr>
        <w:contextualSpacing/>
        <w:rPr>
          <w:sz w:val="22"/>
          <w:szCs w:val="22"/>
        </w:rPr>
      </w:pPr>
    </w:p>
    <w:sectPr w:rsidR="00015A5F" w:rsidRPr="0046228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D9439" w14:textId="77777777" w:rsidR="0015704B" w:rsidRDefault="0015704B" w:rsidP="0015704B">
      <w:r>
        <w:separator/>
      </w:r>
    </w:p>
  </w:endnote>
  <w:endnote w:type="continuationSeparator" w:id="0">
    <w:p w14:paraId="4A621BEC" w14:textId="77777777" w:rsidR="0015704B" w:rsidRDefault="0015704B" w:rsidP="0015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DC49C" w14:textId="77777777" w:rsidR="0015704B" w:rsidRDefault="0015704B" w:rsidP="0015704B">
      <w:r>
        <w:separator/>
      </w:r>
    </w:p>
  </w:footnote>
  <w:footnote w:type="continuationSeparator" w:id="0">
    <w:p w14:paraId="76D91387" w14:textId="77777777" w:rsidR="0015704B" w:rsidRDefault="0015704B" w:rsidP="00157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894E" w14:textId="77777777" w:rsidR="0015704B" w:rsidRPr="00462287" w:rsidRDefault="0015704B" w:rsidP="0015704B">
    <w:pPr>
      <w:jc w:val="center"/>
      <w:rPr>
        <w:b/>
        <w:color w:val="000000"/>
        <w:sz w:val="22"/>
        <w:szCs w:val="22"/>
      </w:rPr>
    </w:pPr>
    <w:r w:rsidRPr="00462287">
      <w:rPr>
        <w:b/>
        <w:color w:val="000000"/>
        <w:sz w:val="22"/>
        <w:szCs w:val="22"/>
        <w:highlight w:val="yellow"/>
      </w:rPr>
      <w:t>LEA NAME</w:t>
    </w:r>
  </w:p>
  <w:p w14:paraId="20F94D61" w14:textId="77777777" w:rsidR="0015704B" w:rsidRPr="00462287" w:rsidRDefault="0015704B" w:rsidP="0015704B">
    <w:pPr>
      <w:jc w:val="center"/>
      <w:rPr>
        <w:b/>
        <w:color w:val="000000"/>
        <w:sz w:val="22"/>
        <w:szCs w:val="22"/>
      </w:rPr>
    </w:pPr>
    <w:r w:rsidRPr="00462287">
      <w:rPr>
        <w:b/>
        <w:color w:val="000000"/>
        <w:sz w:val="22"/>
        <w:szCs w:val="22"/>
      </w:rPr>
      <w:t>2023-24</w:t>
    </w:r>
  </w:p>
  <w:p w14:paraId="669720FE" w14:textId="330E9FB1" w:rsidR="004672E0" w:rsidRDefault="0015704B" w:rsidP="0015704B">
    <w:pPr>
      <w:jc w:val="center"/>
      <w:rPr>
        <w:b/>
        <w:color w:val="000000"/>
        <w:sz w:val="22"/>
        <w:szCs w:val="22"/>
      </w:rPr>
    </w:pPr>
    <w:r w:rsidRPr="00462287">
      <w:rPr>
        <w:b/>
        <w:color w:val="000000"/>
        <w:sz w:val="22"/>
        <w:szCs w:val="22"/>
      </w:rPr>
      <w:t>Comparability</w:t>
    </w:r>
    <w:r w:rsidR="004672E0">
      <w:rPr>
        <w:b/>
        <w:color w:val="000000"/>
        <w:sz w:val="22"/>
        <w:szCs w:val="22"/>
      </w:rPr>
      <w:t xml:space="preserve"> Written</w:t>
    </w:r>
    <w:r w:rsidR="007A77C8">
      <w:rPr>
        <w:b/>
        <w:color w:val="000000"/>
        <w:sz w:val="22"/>
        <w:szCs w:val="22"/>
      </w:rPr>
      <w:t xml:space="preserve"> Procedures</w:t>
    </w:r>
  </w:p>
  <w:p w14:paraId="171A4620" w14:textId="5E75C1C2" w:rsidR="0015704B" w:rsidRPr="00462287" w:rsidRDefault="0015704B" w:rsidP="0015704B">
    <w:pPr>
      <w:jc w:val="center"/>
      <w:rPr>
        <w:b/>
        <w:color w:val="000000"/>
        <w:sz w:val="22"/>
        <w:szCs w:val="22"/>
      </w:rPr>
    </w:pPr>
    <w:r w:rsidRPr="00462287">
      <w:rPr>
        <w:b/>
        <w:color w:val="000000"/>
        <w:sz w:val="22"/>
        <w:szCs w:val="22"/>
        <w:highlight w:val="yellow"/>
      </w:rPr>
      <w:t>Cycle A/B</w:t>
    </w:r>
    <w:r w:rsidRPr="00462287">
      <w:rPr>
        <w:b/>
        <w:color w:val="000000"/>
        <w:sz w:val="22"/>
        <w:szCs w:val="22"/>
      </w:rPr>
      <w:t xml:space="preserve"> Reporting LEA</w:t>
    </w:r>
  </w:p>
  <w:p w14:paraId="660102D4" w14:textId="77777777" w:rsidR="0015704B" w:rsidRPr="00462287" w:rsidRDefault="0015704B" w:rsidP="0015704B">
    <w:pPr>
      <w:jc w:val="center"/>
      <w:rPr>
        <w:b/>
        <w:color w:val="000000"/>
        <w:sz w:val="22"/>
        <w:szCs w:val="22"/>
      </w:rPr>
    </w:pPr>
    <w:r w:rsidRPr="00462287">
      <w:rPr>
        <w:b/>
        <w:color w:val="000000"/>
        <w:sz w:val="22"/>
        <w:szCs w:val="22"/>
      </w:rPr>
      <w:t>Not Applicable/Exempt Template</w:t>
    </w:r>
  </w:p>
  <w:p w14:paraId="4144DFE7" w14:textId="77777777" w:rsidR="0015704B" w:rsidRDefault="00157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787"/>
    <w:multiLevelType w:val="hybridMultilevel"/>
    <w:tmpl w:val="CB30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20F6B"/>
    <w:multiLevelType w:val="hybridMultilevel"/>
    <w:tmpl w:val="53741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F03949"/>
    <w:multiLevelType w:val="hybridMultilevel"/>
    <w:tmpl w:val="A9CE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07575"/>
    <w:multiLevelType w:val="hybridMultilevel"/>
    <w:tmpl w:val="9B72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1E220E"/>
    <w:multiLevelType w:val="hybridMultilevel"/>
    <w:tmpl w:val="7A94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426F8"/>
    <w:multiLevelType w:val="hybridMultilevel"/>
    <w:tmpl w:val="7908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724D04"/>
    <w:multiLevelType w:val="hybridMultilevel"/>
    <w:tmpl w:val="7750B7BC"/>
    <w:lvl w:ilvl="0" w:tplc="04090001">
      <w:numFmt w:val="decimal"/>
      <w:lvlText w:val=""/>
      <w:lvlJc w:val="left"/>
      <w:pPr>
        <w:tabs>
          <w:tab w:val="num" w:pos="1080"/>
        </w:tabs>
        <w:ind w:left="1080" w:hanging="360"/>
      </w:pPr>
      <w:rPr>
        <w:rFonts w:ascii="Symbol" w:hAnsi="Symbol" w:hint="default"/>
      </w:rPr>
    </w:lvl>
    <w:lvl w:ilvl="1" w:tplc="04090003">
      <w:numFmt w:val="decimal"/>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067723175">
    <w:abstractNumId w:val="0"/>
  </w:num>
  <w:num w:numId="2" w16cid:durableId="1708602135">
    <w:abstractNumId w:val="6"/>
  </w:num>
  <w:num w:numId="3" w16cid:durableId="626669324">
    <w:abstractNumId w:val="1"/>
  </w:num>
  <w:num w:numId="4" w16cid:durableId="389816113">
    <w:abstractNumId w:val="3"/>
  </w:num>
  <w:num w:numId="5" w16cid:durableId="386026558">
    <w:abstractNumId w:val="4"/>
  </w:num>
  <w:num w:numId="6" w16cid:durableId="1597057222">
    <w:abstractNumId w:val="2"/>
  </w:num>
  <w:num w:numId="7" w16cid:durableId="5332741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3B4"/>
    <w:rsid w:val="00051DC6"/>
    <w:rsid w:val="00104E9D"/>
    <w:rsid w:val="001459BF"/>
    <w:rsid w:val="0015704B"/>
    <w:rsid w:val="00223C6B"/>
    <w:rsid w:val="0034140A"/>
    <w:rsid w:val="00462287"/>
    <w:rsid w:val="004672E0"/>
    <w:rsid w:val="00467F6A"/>
    <w:rsid w:val="004A4940"/>
    <w:rsid w:val="00585BDD"/>
    <w:rsid w:val="005C02F9"/>
    <w:rsid w:val="005D7CEA"/>
    <w:rsid w:val="005E4D62"/>
    <w:rsid w:val="005E6955"/>
    <w:rsid w:val="00743590"/>
    <w:rsid w:val="007A77C8"/>
    <w:rsid w:val="00A10886"/>
    <w:rsid w:val="00A10D20"/>
    <w:rsid w:val="00BF23B4"/>
    <w:rsid w:val="00BF2C93"/>
    <w:rsid w:val="00CE09F3"/>
    <w:rsid w:val="00F031EA"/>
    <w:rsid w:val="00F36D26"/>
    <w:rsid w:val="00F43356"/>
    <w:rsid w:val="00FB6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CE91"/>
  <w15:chartTrackingRefBased/>
  <w15:docId w15:val="{7A312E1A-EBA4-4A16-8C0B-14C8BB22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3B4"/>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23B4"/>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styleId="Header">
    <w:name w:val="header"/>
    <w:basedOn w:val="Normal"/>
    <w:link w:val="HeaderChar"/>
    <w:uiPriority w:val="99"/>
    <w:unhideWhenUsed/>
    <w:rsid w:val="0015704B"/>
    <w:pPr>
      <w:tabs>
        <w:tab w:val="center" w:pos="4680"/>
        <w:tab w:val="right" w:pos="9360"/>
      </w:tabs>
    </w:pPr>
  </w:style>
  <w:style w:type="character" w:customStyle="1" w:styleId="HeaderChar">
    <w:name w:val="Header Char"/>
    <w:basedOn w:val="DefaultParagraphFont"/>
    <w:link w:val="Header"/>
    <w:uiPriority w:val="99"/>
    <w:rsid w:val="0015704B"/>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15704B"/>
    <w:pPr>
      <w:tabs>
        <w:tab w:val="center" w:pos="4680"/>
        <w:tab w:val="right" w:pos="9360"/>
      </w:tabs>
    </w:pPr>
  </w:style>
  <w:style w:type="character" w:customStyle="1" w:styleId="FooterChar">
    <w:name w:val="Footer Char"/>
    <w:basedOn w:val="DefaultParagraphFont"/>
    <w:link w:val="Footer"/>
    <w:uiPriority w:val="99"/>
    <w:rsid w:val="0015704B"/>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F03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1083</Words>
  <Characters>6175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Tevis</dc:creator>
  <cp:keywords/>
  <dc:description/>
  <cp:lastModifiedBy>Kruis1, Jennifer</cp:lastModifiedBy>
  <cp:revision>2</cp:revision>
  <dcterms:created xsi:type="dcterms:W3CDTF">2023-12-27T15:08:00Z</dcterms:created>
  <dcterms:modified xsi:type="dcterms:W3CDTF">2023-12-27T15:08:00Z</dcterms:modified>
</cp:coreProperties>
</file>